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0A217" w14:textId="34C0AA9E" w:rsidR="005D4500" w:rsidRPr="0033707E" w:rsidRDefault="00C35B15" w:rsidP="00D92716">
      <w:pPr>
        <w:pStyle w:val="1author"/>
      </w:pPr>
      <w:r>
        <w:t xml:space="preserve">Paper </w:t>
      </w:r>
      <w:r w:rsidRPr="00D92716">
        <w:t>Title</w:t>
      </w:r>
      <w:r>
        <w:t xml:space="preserve"> </w:t>
      </w:r>
      <w:r w:rsidRPr="001648BC">
        <w:rPr>
          <w:color w:val="0000FF"/>
        </w:rPr>
        <w:t>(12 points, Bold)</w:t>
      </w:r>
    </w:p>
    <w:p w14:paraId="0AFE45A7" w14:textId="588AF666" w:rsidR="0017154C" w:rsidRPr="00571454" w:rsidRDefault="0017154C" w:rsidP="00571454">
      <w:pPr>
        <w:tabs>
          <w:tab w:val="clear" w:pos="3068"/>
        </w:tabs>
        <w:spacing w:line="240" w:lineRule="auto"/>
        <w:ind w:firstLine="0"/>
        <w:rPr>
          <w:rFonts w:asciiTheme="minorHAnsi" w:hAnsiTheme="minorHAnsi" w:cstheme="minorHAnsi"/>
          <w:sz w:val="24"/>
          <w:szCs w:val="24"/>
        </w:rPr>
      </w:pPr>
    </w:p>
    <w:p w14:paraId="57C2CFDD" w14:textId="5B0216E6" w:rsidR="0017154C" w:rsidRPr="001B2299" w:rsidRDefault="0017154C" w:rsidP="00D92716">
      <w:pPr>
        <w:pStyle w:val="1author"/>
      </w:pPr>
      <w:r w:rsidRPr="001B2299">
        <w:t>Claudia J. Stanny</w:t>
      </w:r>
      <w:r w:rsidRPr="001B2299">
        <w:rPr>
          <w:vertAlign w:val="superscript"/>
        </w:rPr>
        <w:t>1</w:t>
      </w:r>
      <w:r w:rsidRPr="001B2299">
        <w:t xml:space="preserve"> </w:t>
      </w:r>
      <w:r w:rsidRPr="00D92716">
        <w:t>and</w:t>
      </w:r>
      <w:r w:rsidRPr="001B2299">
        <w:t xml:space="preserve"> James E. Arruda</w:t>
      </w:r>
      <w:r w:rsidRPr="001B2299">
        <w:rPr>
          <w:vertAlign w:val="superscript"/>
        </w:rPr>
        <w:t>2</w:t>
      </w:r>
    </w:p>
    <w:p w14:paraId="67AD33F7" w14:textId="71E77139" w:rsidR="0017154C" w:rsidRPr="00571454" w:rsidRDefault="0017154C" w:rsidP="00D92716">
      <w:pPr>
        <w:pStyle w:val="1authordetail"/>
      </w:pPr>
      <w:r w:rsidRPr="00571454">
        <w:rPr>
          <w:vertAlign w:val="superscript"/>
        </w:rPr>
        <w:t xml:space="preserve">1 </w:t>
      </w:r>
      <w:r w:rsidRPr="00571454">
        <w:t>Center for University Teaching, Learning, and Assessment, University of West Florida</w:t>
      </w:r>
    </w:p>
    <w:p w14:paraId="278E7DC6" w14:textId="30FC1C52" w:rsidR="001B2299" w:rsidRPr="00571454" w:rsidRDefault="0017154C" w:rsidP="00D92716">
      <w:pPr>
        <w:pStyle w:val="1authordetail"/>
      </w:pPr>
      <w:r w:rsidRPr="00571454">
        <w:rPr>
          <w:vertAlign w:val="superscript"/>
        </w:rPr>
        <w:t xml:space="preserve">2 </w:t>
      </w:r>
      <w:r w:rsidRPr="00571454">
        <w:t xml:space="preserve">Department of Psychology, </w:t>
      </w:r>
      <w:r w:rsidRPr="00D92716">
        <w:t>University</w:t>
      </w:r>
      <w:r w:rsidRPr="00571454">
        <w:t xml:space="preserve"> of West Florida</w:t>
      </w:r>
    </w:p>
    <w:p w14:paraId="3E30800D" w14:textId="58C139CD" w:rsidR="0017154C" w:rsidRPr="001648BC" w:rsidRDefault="0017154C" w:rsidP="00D92716">
      <w:pPr>
        <w:pStyle w:val="3abstract"/>
        <w:rPr>
          <w:color w:val="0000FF"/>
        </w:rPr>
      </w:pPr>
      <w:r w:rsidRPr="00D92716">
        <w:t>Abstract</w:t>
      </w:r>
      <w:r w:rsidR="001648BC">
        <w:t xml:space="preserve"> </w:t>
      </w:r>
      <w:r w:rsidR="001648BC" w:rsidRPr="001648BC">
        <w:rPr>
          <w:color w:val="0000FF"/>
        </w:rPr>
        <w:t>(250</w:t>
      </w:r>
      <w:r w:rsidR="006A0399">
        <w:rPr>
          <w:color w:val="0000FF"/>
        </w:rPr>
        <w:t>~300 words</w:t>
      </w:r>
      <w:r w:rsidR="001648BC" w:rsidRPr="001648BC">
        <w:rPr>
          <w:color w:val="0000FF"/>
        </w:rPr>
        <w:t>)</w:t>
      </w:r>
    </w:p>
    <w:p w14:paraId="65AD58A0" w14:textId="77777777" w:rsidR="0017154C" w:rsidRPr="00571454" w:rsidRDefault="0017154C" w:rsidP="00D92716">
      <w:pPr>
        <w:pStyle w:val="4abstractcontents"/>
      </w:pPr>
      <w:r w:rsidRPr="00571454">
        <w:t xml:space="preserve">When institutions administer student evaluations of teaching (SETs) online, response rates are lower relative to paper-based administration. We analyzed average SET scores from 364 courses taught during the fall term in 3 consecutive years to determine whether administering SET forms online for all courses in the 3rd year </w:t>
      </w:r>
      <w:r w:rsidRPr="00D92716">
        <w:t>changed</w:t>
      </w:r>
      <w:r w:rsidRPr="00571454">
        <w:t xml:space="preserve"> the response rate or the average SET score. To control for instructor characteristics, we based the data analysis on courses for which the same instructor taught the course in each of </w:t>
      </w:r>
      <w:r w:rsidRPr="00D92716">
        <w:t>three</w:t>
      </w:r>
      <w:r w:rsidRPr="00571454">
        <w:t xml:space="preserve"> successive fall terms. Response rates for face-to-face classes declined when SET administration occurred only online. Although average SET scores were reliably lower in Year 3 than in the previous 2 years, the magnitude of this change was minimal (0.11 on a five-item Likert-like scale). We discuss practical implications of these findings for interpretation of SETs and the role of SETs in the evaluation of teaching quality.</w:t>
      </w:r>
    </w:p>
    <w:p w14:paraId="462DCD2A" w14:textId="77777777" w:rsidR="0017154C" w:rsidRPr="00571454" w:rsidRDefault="0017154C" w:rsidP="00D92716">
      <w:pPr>
        <w:pStyle w:val="4abstractcontents"/>
      </w:pPr>
      <w:r w:rsidRPr="00571454">
        <w:tab/>
      </w:r>
      <w:r w:rsidRPr="00571454">
        <w:rPr>
          <w:i/>
        </w:rPr>
        <w:t>Keywords:</w:t>
      </w:r>
      <w:r w:rsidRPr="00571454">
        <w:t xml:space="preserve"> college teaching, student evaluations of teaching, online administration, response rate, assessment</w:t>
      </w:r>
    </w:p>
    <w:p w14:paraId="2FED3746" w14:textId="51F80FA1" w:rsidR="00E102C3" w:rsidRDefault="00E102C3" w:rsidP="00571454">
      <w:pPr>
        <w:tabs>
          <w:tab w:val="clear" w:pos="3068"/>
        </w:tabs>
        <w:spacing w:line="240" w:lineRule="auto"/>
        <w:ind w:firstLine="0"/>
        <w:rPr>
          <w:rFonts w:asciiTheme="minorHAnsi" w:hAnsiTheme="minorHAnsi" w:cstheme="minorHAnsi"/>
          <w:sz w:val="24"/>
          <w:szCs w:val="24"/>
        </w:rPr>
      </w:pPr>
    </w:p>
    <w:p w14:paraId="347C708D" w14:textId="77777777" w:rsidR="00571454" w:rsidRPr="00571454" w:rsidRDefault="00571454" w:rsidP="00571454">
      <w:pPr>
        <w:tabs>
          <w:tab w:val="clear" w:pos="3068"/>
        </w:tabs>
        <w:spacing w:line="240" w:lineRule="auto"/>
        <w:ind w:firstLine="0"/>
        <w:rPr>
          <w:rFonts w:asciiTheme="minorHAnsi" w:hAnsiTheme="minorHAnsi" w:cstheme="minorHAnsi"/>
          <w:sz w:val="24"/>
          <w:szCs w:val="24"/>
        </w:rPr>
      </w:pPr>
    </w:p>
    <w:p w14:paraId="17CDD741" w14:textId="1D5DA660" w:rsidR="00571454" w:rsidRPr="00D92716" w:rsidRDefault="006A0399" w:rsidP="00D92716">
      <w:pPr>
        <w:pStyle w:val="5Sectiontitle"/>
      </w:pPr>
      <w:r>
        <w:t>Student Rating and Evaluation of Teaching</w:t>
      </w:r>
      <w:r w:rsidR="00571454">
        <w:t xml:space="preserve"> </w:t>
      </w:r>
      <w:r w:rsidR="00487FF4" w:rsidRPr="001648BC">
        <w:rPr>
          <w:color w:val="0000FF"/>
        </w:rPr>
        <w:t>(</w:t>
      </w:r>
      <w:r>
        <w:rPr>
          <w:color w:val="0000FF"/>
        </w:rPr>
        <w:t xml:space="preserve">Section Title: </w:t>
      </w:r>
      <w:r w:rsidR="00487FF4" w:rsidRPr="001648BC">
        <w:rPr>
          <w:color w:val="0000FF"/>
        </w:rPr>
        <w:t>12 point, bold)</w:t>
      </w:r>
    </w:p>
    <w:p w14:paraId="330F6CFE" w14:textId="5B6A8924" w:rsidR="00E102C3" w:rsidRDefault="00E102C3" w:rsidP="00D92716">
      <w:pPr>
        <w:pStyle w:val="7Body"/>
      </w:pPr>
      <w:r w:rsidRPr="00571454">
        <w:t>Student ratings and evaluations of instruction have a long history as source</w:t>
      </w:r>
      <w:r w:rsidR="00BB76BE" w:rsidRPr="00571454">
        <w:t>s</w:t>
      </w:r>
      <w:r w:rsidRPr="00571454">
        <w:t xml:space="preserve"> of information about teaching quality (Berk</w:t>
      </w:r>
      <w:r w:rsidR="00CC7D0E" w:rsidRPr="00571454">
        <w:t xml:space="preserve">, </w:t>
      </w:r>
      <w:r w:rsidRPr="00571454">
        <w:t>2013). Student evaluations of teaching (SET</w:t>
      </w:r>
      <w:r w:rsidR="00342C89" w:rsidRPr="00571454">
        <w:t>s</w:t>
      </w:r>
      <w:r w:rsidRPr="00571454">
        <w:t>) often play a significant role in high-stakes decisions about hiring</w:t>
      </w:r>
      <w:r w:rsidR="00CC7D0E" w:rsidRPr="00571454">
        <w:t xml:space="preserve">, </w:t>
      </w:r>
      <w:r w:rsidRPr="00571454">
        <w:t>promotion</w:t>
      </w:r>
      <w:r w:rsidR="00CC7D0E" w:rsidRPr="00571454">
        <w:t xml:space="preserve">, </w:t>
      </w:r>
      <w:r w:rsidRPr="00571454">
        <w:t>tenure</w:t>
      </w:r>
      <w:r w:rsidR="00CC7D0E" w:rsidRPr="00571454">
        <w:t xml:space="preserve">, </w:t>
      </w:r>
      <w:r w:rsidRPr="00571454">
        <w:t>and teaching awards. As a result</w:t>
      </w:r>
      <w:r w:rsidR="00CC7D0E" w:rsidRPr="00571454">
        <w:t xml:space="preserve">, </w:t>
      </w:r>
      <w:r w:rsidRPr="00571454">
        <w:t xml:space="preserve">researchers have </w:t>
      </w:r>
      <w:r w:rsidRPr="00D92716">
        <w:rPr>
          <w:rStyle w:val="af4"/>
        </w:rPr>
        <w:t>examined</w:t>
      </w:r>
      <w:r w:rsidRPr="00571454">
        <w:t xml:space="preserve"> the </w:t>
      </w:r>
      <w:r w:rsidRPr="00D92716">
        <w:t>psychometric</w:t>
      </w:r>
      <w:r w:rsidRPr="00571454">
        <w:t xml:space="preserve"> properties of SETs and the possible impact of variables such as race</w:t>
      </w:r>
      <w:r w:rsidR="00CC7D0E" w:rsidRPr="00571454">
        <w:t xml:space="preserve">, </w:t>
      </w:r>
      <w:r w:rsidRPr="00571454">
        <w:t>gender</w:t>
      </w:r>
      <w:r w:rsidR="00CC7D0E" w:rsidRPr="00571454">
        <w:t xml:space="preserve">, </w:t>
      </w:r>
      <w:r w:rsidRPr="00571454">
        <w:t>age</w:t>
      </w:r>
      <w:r w:rsidR="00CC7D0E" w:rsidRPr="00571454">
        <w:t xml:space="preserve">, </w:t>
      </w:r>
      <w:r w:rsidRPr="00571454">
        <w:t>course difficulty</w:t>
      </w:r>
      <w:r w:rsidR="00CC7D0E" w:rsidRPr="00571454">
        <w:t xml:space="preserve">, </w:t>
      </w:r>
      <w:r w:rsidRPr="00571454">
        <w:t>and grading practices on average student ratings (Griffin</w:t>
      </w:r>
      <w:r w:rsidR="00DE1469" w:rsidRPr="00571454">
        <w:t xml:space="preserve"> et al.</w:t>
      </w:r>
      <w:r w:rsidR="00CC7D0E" w:rsidRPr="00571454">
        <w:t xml:space="preserve">, </w:t>
      </w:r>
      <w:r w:rsidR="00E64A41" w:rsidRPr="00571454">
        <w:t>2014</w:t>
      </w:r>
      <w:r w:rsidRPr="00571454">
        <w:t>;</w:t>
      </w:r>
      <w:r w:rsidR="00E64A41" w:rsidRPr="00571454" w:rsidDel="00E64A41">
        <w:t xml:space="preserve"> </w:t>
      </w:r>
      <w:proofErr w:type="spellStart"/>
      <w:r w:rsidRPr="00571454">
        <w:t>Nulty</w:t>
      </w:r>
      <w:proofErr w:type="spellEnd"/>
      <w:r w:rsidR="00CC7D0E" w:rsidRPr="00571454">
        <w:t xml:space="preserve">, </w:t>
      </w:r>
      <w:r w:rsidRPr="00571454">
        <w:t>2008;</w:t>
      </w:r>
      <w:r w:rsidR="006274E0" w:rsidRPr="00571454">
        <w:t xml:space="preserve"> </w:t>
      </w:r>
      <w:proofErr w:type="spellStart"/>
      <w:r w:rsidRPr="00571454">
        <w:t>Spooren</w:t>
      </w:r>
      <w:proofErr w:type="spellEnd"/>
      <w:r w:rsidR="00DE1469" w:rsidRPr="00571454">
        <w:t xml:space="preserve"> et al.</w:t>
      </w:r>
      <w:r w:rsidR="00CC7D0E" w:rsidRPr="00571454">
        <w:t xml:space="preserve">, </w:t>
      </w:r>
      <w:r w:rsidRPr="00571454">
        <w:t>2013). They have also examined how decision</w:t>
      </w:r>
      <w:r w:rsidR="006274E0" w:rsidRPr="00571454">
        <w:t xml:space="preserve"> </w:t>
      </w:r>
      <w:r w:rsidRPr="00571454">
        <w:t>makers evaluate SET scores (Boysen</w:t>
      </w:r>
      <w:r w:rsidR="00CC7D0E" w:rsidRPr="00571454">
        <w:t xml:space="preserve">, </w:t>
      </w:r>
      <w:r w:rsidR="00AA5283" w:rsidRPr="00571454">
        <w:t>2015a</w:t>
      </w:r>
      <w:r w:rsidR="00CC7D0E" w:rsidRPr="00571454">
        <w:t xml:space="preserve">, </w:t>
      </w:r>
      <w:r w:rsidR="00AA5283" w:rsidRPr="00571454">
        <w:t>2015b; Boysen et al.</w:t>
      </w:r>
      <w:r w:rsidR="00CC7D0E" w:rsidRPr="00571454">
        <w:t xml:space="preserve">, </w:t>
      </w:r>
      <w:r w:rsidR="00AA5283" w:rsidRPr="00571454">
        <w:t>2014;</w:t>
      </w:r>
      <w:r w:rsidR="006274E0" w:rsidRPr="00571454">
        <w:t xml:space="preserve"> </w:t>
      </w:r>
      <w:r w:rsidR="00AA5283" w:rsidRPr="00571454">
        <w:t>Dewar</w:t>
      </w:r>
      <w:r w:rsidR="00CC7D0E" w:rsidRPr="00571454">
        <w:t xml:space="preserve">, </w:t>
      </w:r>
      <w:r w:rsidR="00AA5283" w:rsidRPr="00571454">
        <w:t>2011</w:t>
      </w:r>
      <w:r w:rsidRPr="00571454">
        <w:t>). In the last 20 years</w:t>
      </w:r>
      <w:r w:rsidR="00CC7D0E" w:rsidRPr="00571454">
        <w:t xml:space="preserve">, </w:t>
      </w:r>
      <w:r w:rsidRPr="00571454">
        <w:t>considerable attention has been directed toward the consequences of administering SETs online (Morrison</w:t>
      </w:r>
      <w:r w:rsidR="00CC7D0E" w:rsidRPr="00571454">
        <w:t xml:space="preserve">, </w:t>
      </w:r>
      <w:r w:rsidRPr="00571454">
        <w:t>2011;</w:t>
      </w:r>
      <w:r w:rsidR="006274E0" w:rsidRPr="00571454">
        <w:t xml:space="preserve"> </w:t>
      </w:r>
      <w:r w:rsidRPr="00571454">
        <w:t>Stowell</w:t>
      </w:r>
      <w:r w:rsidR="00DE1469" w:rsidRPr="00571454">
        <w:t xml:space="preserve"> et al.</w:t>
      </w:r>
      <w:r w:rsidR="00CC7D0E" w:rsidRPr="00571454">
        <w:t xml:space="preserve">, </w:t>
      </w:r>
      <w:r w:rsidR="00E64A41" w:rsidRPr="00571454">
        <w:t>2012</w:t>
      </w:r>
      <w:r w:rsidRPr="00571454">
        <w:t>) because low response rates may have implications for how decision</w:t>
      </w:r>
      <w:r w:rsidR="006274E0" w:rsidRPr="00571454">
        <w:t xml:space="preserve"> </w:t>
      </w:r>
      <w:r w:rsidRPr="00571454">
        <w:t>makers should interpret SETs.</w:t>
      </w:r>
    </w:p>
    <w:p w14:paraId="211C18C0" w14:textId="77777777" w:rsidR="00571454" w:rsidRPr="00571454" w:rsidRDefault="00571454" w:rsidP="00571454">
      <w:pPr>
        <w:tabs>
          <w:tab w:val="clear" w:pos="3068"/>
        </w:tabs>
        <w:spacing w:line="240" w:lineRule="auto"/>
        <w:rPr>
          <w:rFonts w:asciiTheme="minorHAnsi" w:hAnsiTheme="minorHAnsi" w:cstheme="minorHAnsi"/>
          <w:sz w:val="24"/>
          <w:szCs w:val="24"/>
        </w:rPr>
      </w:pPr>
    </w:p>
    <w:p w14:paraId="7359440A" w14:textId="4F00F214" w:rsidR="00571454" w:rsidRPr="001648BC" w:rsidRDefault="006A0399" w:rsidP="00D92716">
      <w:pPr>
        <w:pStyle w:val="5Sectiontitle"/>
        <w:rPr>
          <w:color w:val="0000FF"/>
        </w:rPr>
      </w:pPr>
      <w:r w:rsidRPr="00487FF4">
        <w:t>Purpose of the Present Study</w:t>
      </w:r>
      <w:r w:rsidR="00571454">
        <w:t xml:space="preserve"> </w:t>
      </w:r>
      <w:r w:rsidR="00487FF4" w:rsidRPr="001648BC">
        <w:rPr>
          <w:color w:val="0000FF"/>
        </w:rPr>
        <w:t>(</w:t>
      </w:r>
      <w:r>
        <w:rPr>
          <w:color w:val="0000FF"/>
        </w:rPr>
        <w:t xml:space="preserve">Section Title: </w:t>
      </w:r>
      <w:r w:rsidR="00487FF4" w:rsidRPr="001648BC">
        <w:rPr>
          <w:color w:val="0000FF"/>
        </w:rPr>
        <w:t>12 points, bold)</w:t>
      </w:r>
    </w:p>
    <w:p w14:paraId="17F625CA" w14:textId="4E90275D" w:rsidR="00E102C3" w:rsidRDefault="00E102C3" w:rsidP="00D92716">
      <w:pPr>
        <w:pStyle w:val="7Body"/>
      </w:pPr>
      <w:r w:rsidRPr="00571454">
        <w:t xml:space="preserve">Administering SETs online creates multiple benefits. Online administration enables instructors to devote more class time to instruction (vs. administering paper-based forms) and can improve the integrity of the process. Students who are not pressed for time </w:t>
      </w:r>
      <w:r w:rsidR="001C2344" w:rsidRPr="00571454">
        <w:t xml:space="preserve">in class </w:t>
      </w:r>
      <w:r w:rsidRPr="00571454">
        <w:t>are more likely to reflect on their answers</w:t>
      </w:r>
      <w:r w:rsidR="004F63CE" w:rsidRPr="00571454">
        <w:t xml:space="preserve"> and </w:t>
      </w:r>
      <w:r w:rsidRPr="00571454">
        <w:t xml:space="preserve">write </w:t>
      </w:r>
      <w:r w:rsidR="00FA3A11" w:rsidRPr="00571454">
        <w:t xml:space="preserve">more </w:t>
      </w:r>
      <w:r w:rsidRPr="00571454">
        <w:t>detailed comments (Morrison</w:t>
      </w:r>
      <w:r w:rsidR="00CC7D0E" w:rsidRPr="00571454">
        <w:t xml:space="preserve">, </w:t>
      </w:r>
      <w:r w:rsidRPr="00571454">
        <w:t>2011;</w:t>
      </w:r>
      <w:r w:rsidR="006274E0" w:rsidRPr="00571454">
        <w:t xml:space="preserve"> </w:t>
      </w:r>
      <w:r w:rsidRPr="00571454">
        <w:t>Stowell et al.</w:t>
      </w:r>
      <w:r w:rsidR="00CC7D0E" w:rsidRPr="00571454">
        <w:t xml:space="preserve">, </w:t>
      </w:r>
      <w:r w:rsidRPr="00571454">
        <w:t>2012;</w:t>
      </w:r>
      <w:r w:rsidR="006274E0" w:rsidRPr="00571454">
        <w:t xml:space="preserve"> </w:t>
      </w:r>
      <w:proofErr w:type="spellStart"/>
      <w:r w:rsidRPr="00571454">
        <w:t>Venette</w:t>
      </w:r>
      <w:proofErr w:type="spellEnd"/>
      <w:r w:rsidRPr="00571454">
        <w:t xml:space="preserve"> et al.</w:t>
      </w:r>
      <w:r w:rsidR="00CC7D0E" w:rsidRPr="00571454">
        <w:t xml:space="preserve">, </w:t>
      </w:r>
      <w:r w:rsidRPr="00571454">
        <w:t>2010). Because electronic aggregation of responses bypasses the time-consuming task of transcribing comments (sometimes written in challenging handwriting)</w:t>
      </w:r>
      <w:r w:rsidR="00CC7D0E" w:rsidRPr="00571454">
        <w:t xml:space="preserve">, </w:t>
      </w:r>
      <w:r w:rsidRPr="00571454">
        <w:t>instructors can receive summary data and verbatim comments shortly after the close of the term instead of weeks or months into the following term.</w:t>
      </w:r>
    </w:p>
    <w:p w14:paraId="0B42FAB2" w14:textId="77777777" w:rsidR="006A0399" w:rsidRPr="00571454" w:rsidRDefault="006A0399" w:rsidP="00D92716">
      <w:pPr>
        <w:pStyle w:val="7Body"/>
      </w:pPr>
    </w:p>
    <w:p w14:paraId="7A826886" w14:textId="4521FC0A" w:rsidR="00E102C3" w:rsidRPr="00571454" w:rsidRDefault="00E102C3" w:rsidP="00D92716">
      <w:pPr>
        <w:pStyle w:val="5Sectiontitle"/>
      </w:pPr>
      <w:r w:rsidRPr="00571454">
        <w:lastRenderedPageBreak/>
        <w:t>Method</w:t>
      </w:r>
    </w:p>
    <w:p w14:paraId="23984553" w14:textId="089E6327" w:rsidR="006A0399" w:rsidRPr="001648BC" w:rsidRDefault="00E102C3" w:rsidP="006A0399">
      <w:pPr>
        <w:pStyle w:val="6sub-sectiontitle"/>
        <w:rPr>
          <w:rStyle w:val="af4"/>
          <w:i/>
          <w:color w:val="0000FF"/>
        </w:rPr>
      </w:pPr>
      <w:r w:rsidRPr="00D92716">
        <w:t>Sample</w:t>
      </w:r>
      <w:r w:rsidR="006A0399" w:rsidRPr="006A0399">
        <w:rPr>
          <w:rFonts w:hint="eastAsia"/>
        </w:rPr>
        <w:t xml:space="preserve"> </w:t>
      </w:r>
      <w:r w:rsidR="006A0399" w:rsidRPr="001648BC">
        <w:rPr>
          <w:rStyle w:val="af4"/>
          <w:i/>
          <w:color w:val="0000FF"/>
        </w:rPr>
        <w:t>(</w:t>
      </w:r>
      <w:r w:rsidR="006A0399">
        <w:rPr>
          <w:rStyle w:val="af4"/>
          <w:i/>
          <w:color w:val="0000FF"/>
        </w:rPr>
        <w:t xml:space="preserve">Sub-section title: </w:t>
      </w:r>
      <w:r w:rsidR="006A0399" w:rsidRPr="001648BC">
        <w:rPr>
          <w:rStyle w:val="af4"/>
          <w:i/>
          <w:color w:val="0000FF"/>
        </w:rPr>
        <w:t>12 points, bold Italic)</w:t>
      </w:r>
    </w:p>
    <w:p w14:paraId="6E8499C7" w14:textId="77777777" w:rsidR="001A6792" w:rsidRPr="00571454" w:rsidRDefault="00E102C3" w:rsidP="00D92716">
      <w:pPr>
        <w:pStyle w:val="7Body"/>
      </w:pPr>
      <w:r w:rsidRPr="00571454">
        <w:t xml:space="preserve">Response rates and evaluation ratings were retrieved from archived course evaluation data. The archive of SET </w:t>
      </w:r>
      <w:r w:rsidR="001D7F11" w:rsidRPr="00571454">
        <w:t xml:space="preserve">data </w:t>
      </w:r>
      <w:r w:rsidRPr="00571454">
        <w:t>did not include information about personal characteristics of the instructor (</w:t>
      </w:r>
      <w:r w:rsidR="00BB41EE" w:rsidRPr="00571454">
        <w:t>gender</w:t>
      </w:r>
      <w:r w:rsidR="00CC7D0E" w:rsidRPr="00571454">
        <w:t xml:space="preserve">, </w:t>
      </w:r>
      <w:r w:rsidRPr="00571454">
        <w:t>age</w:t>
      </w:r>
      <w:r w:rsidR="00CC7D0E" w:rsidRPr="00571454">
        <w:t xml:space="preserve">, </w:t>
      </w:r>
      <w:r w:rsidRPr="00571454">
        <w:t>or years of teaching experience)</w:t>
      </w:r>
      <w:r w:rsidR="00BB41EE" w:rsidRPr="00571454">
        <w:t>,</w:t>
      </w:r>
      <w:r w:rsidRPr="00571454">
        <w:t xml:space="preserve"> and students were not provided with any systematic incentive to complete the paper or online versions of the SET. We extracted data</w:t>
      </w:r>
      <w:r w:rsidR="006274E0" w:rsidRPr="00571454">
        <w:t xml:space="preserve"> </w:t>
      </w:r>
      <w:r w:rsidRPr="00571454">
        <w:t>on response</w:t>
      </w:r>
      <w:r w:rsidR="006274E0" w:rsidRPr="00571454">
        <w:t xml:space="preserve"> </w:t>
      </w:r>
      <w:r w:rsidRPr="00571454">
        <w:t xml:space="preserve">rates and evaluation ratings for 364 courses that had been taught by the same instructor during </w:t>
      </w:r>
      <w:r w:rsidR="00700473" w:rsidRPr="00571454">
        <w:t>three</w:t>
      </w:r>
      <w:r w:rsidR="004B274A" w:rsidRPr="00571454">
        <w:t xml:space="preserve"> </w:t>
      </w:r>
      <w:r w:rsidRPr="00571454">
        <w:t>consecutive fall terms (2012</w:t>
      </w:r>
      <w:r w:rsidR="00CC7D0E" w:rsidRPr="00571454">
        <w:t xml:space="preserve">, </w:t>
      </w:r>
      <w:r w:rsidRPr="00571454">
        <w:t>2013</w:t>
      </w:r>
      <w:r w:rsidR="00CC7D0E" w:rsidRPr="00571454">
        <w:t xml:space="preserve">, </w:t>
      </w:r>
      <w:r w:rsidR="00BB41EE" w:rsidRPr="00571454">
        <w:t xml:space="preserve">and </w:t>
      </w:r>
      <w:r w:rsidRPr="00571454">
        <w:t xml:space="preserve">2014). </w:t>
      </w:r>
    </w:p>
    <w:p w14:paraId="700C5283" w14:textId="45781450" w:rsidR="00E102C3" w:rsidRDefault="00E102C3" w:rsidP="00D92716">
      <w:pPr>
        <w:pStyle w:val="7Body"/>
      </w:pPr>
      <w:r w:rsidRPr="00571454">
        <w:t xml:space="preserve">The sample included faculty who </w:t>
      </w:r>
      <w:r w:rsidR="006274E0" w:rsidRPr="00571454">
        <w:t xml:space="preserve">taught </w:t>
      </w:r>
      <w:r w:rsidRPr="00571454">
        <w:t>in each of the five colleges at the university: 109 instructors (30%) taught in the College of</w:t>
      </w:r>
      <w:r w:rsidR="006274E0" w:rsidRPr="00571454">
        <w:t xml:space="preserve"> </w:t>
      </w:r>
      <w:r w:rsidRPr="00571454">
        <w:t>Social Science</w:t>
      </w:r>
      <w:r w:rsidR="006274E0" w:rsidRPr="00571454">
        <w:t xml:space="preserve"> </w:t>
      </w:r>
      <w:r w:rsidRPr="00571454">
        <w:t>and Humanities</w:t>
      </w:r>
      <w:r w:rsidR="00CC7D0E" w:rsidRPr="00571454">
        <w:t xml:space="preserve">, </w:t>
      </w:r>
      <w:r w:rsidRPr="00571454">
        <w:t>82 (23%) taught in the College of Science and Engineering</w:t>
      </w:r>
      <w:r w:rsidR="00CC7D0E" w:rsidRPr="00571454">
        <w:t xml:space="preserve">, </w:t>
      </w:r>
      <w:r w:rsidRPr="00571454">
        <w:t>75 (21%) taught in the College of Education and Professional Studies</w:t>
      </w:r>
      <w:r w:rsidR="00CC7D0E" w:rsidRPr="00571454">
        <w:t xml:space="preserve">, </w:t>
      </w:r>
      <w:r w:rsidR="008A49D2" w:rsidRPr="00571454">
        <w:t>58 (16%) taught in the College of Health</w:t>
      </w:r>
      <w:r w:rsidR="00CC7D0E" w:rsidRPr="00571454">
        <w:t xml:space="preserve">, </w:t>
      </w:r>
      <w:r w:rsidR="00290C63" w:rsidRPr="00571454">
        <w:t>and 40 (11%) taught in the College of Business</w:t>
      </w:r>
      <w:r w:rsidR="008A49D2" w:rsidRPr="00571454">
        <w:t>. Each instructor provided data on one course</w:t>
      </w:r>
      <w:r w:rsidRPr="00571454">
        <w:t>. Approximately 259 instructors (71%) provided ratings for face-to-face courses</w:t>
      </w:r>
      <w:r w:rsidR="001C2344" w:rsidRPr="00571454">
        <w:t>,</w:t>
      </w:r>
      <w:r w:rsidRPr="00571454">
        <w:t xml:space="preserve"> and 105 (29%) provided ratings for online courses</w:t>
      </w:r>
      <w:r w:rsidR="00CC7D0E" w:rsidRPr="00571454">
        <w:t xml:space="preserve">, </w:t>
      </w:r>
      <w:r w:rsidRPr="00571454">
        <w:t xml:space="preserve">which accurately reflects the proportion of face-to-face and online courses offered at the university. The sample included 107 courses (29%) </w:t>
      </w:r>
      <w:r w:rsidR="001C2344" w:rsidRPr="00571454">
        <w:t xml:space="preserve">at the </w:t>
      </w:r>
      <w:r w:rsidRPr="00571454">
        <w:t>beginning undergraduate</w:t>
      </w:r>
      <w:r w:rsidR="001C2344" w:rsidRPr="00571454">
        <w:t xml:space="preserve"> level (1st</w:t>
      </w:r>
      <w:r w:rsidR="006274E0" w:rsidRPr="00571454">
        <w:t>-</w:t>
      </w:r>
      <w:r w:rsidR="001C2344" w:rsidRPr="00571454">
        <w:t xml:space="preserve"> and 2nd</w:t>
      </w:r>
      <w:r w:rsidR="006274E0" w:rsidRPr="00571454">
        <w:t>-</w:t>
      </w:r>
      <w:r w:rsidR="001C2344" w:rsidRPr="00571454">
        <w:t>year students)</w:t>
      </w:r>
      <w:r w:rsidR="00CC7D0E" w:rsidRPr="00571454">
        <w:t xml:space="preserve">, </w:t>
      </w:r>
      <w:r w:rsidRPr="00571454">
        <w:t xml:space="preserve">205 courses (56%) </w:t>
      </w:r>
      <w:r w:rsidR="001C2344" w:rsidRPr="00571454">
        <w:t xml:space="preserve">at the </w:t>
      </w:r>
      <w:r w:rsidRPr="00571454">
        <w:t>advanced undergraduate</w:t>
      </w:r>
      <w:r w:rsidR="001C2344" w:rsidRPr="00571454">
        <w:t xml:space="preserve"> level (3rd</w:t>
      </w:r>
      <w:r w:rsidR="006274E0" w:rsidRPr="00571454">
        <w:t>-</w:t>
      </w:r>
      <w:r w:rsidR="001C2344" w:rsidRPr="00571454">
        <w:t xml:space="preserve"> and 4th</w:t>
      </w:r>
      <w:r w:rsidR="006274E0" w:rsidRPr="00571454">
        <w:t>-</w:t>
      </w:r>
      <w:r w:rsidR="001C2344" w:rsidRPr="00571454">
        <w:t>year students)</w:t>
      </w:r>
      <w:r w:rsidR="00CC7D0E" w:rsidRPr="00571454">
        <w:t xml:space="preserve">, </w:t>
      </w:r>
      <w:r w:rsidRPr="00571454">
        <w:t>and 52</w:t>
      </w:r>
      <w:r w:rsidR="001C2344" w:rsidRPr="00571454">
        <w:t xml:space="preserve"> courses </w:t>
      </w:r>
      <w:r w:rsidRPr="00571454">
        <w:t xml:space="preserve">(14%) </w:t>
      </w:r>
      <w:r w:rsidR="001C2344" w:rsidRPr="00571454">
        <w:t xml:space="preserve">at the </w:t>
      </w:r>
      <w:r w:rsidR="008A49D2" w:rsidRPr="00571454">
        <w:t xml:space="preserve">graduate </w:t>
      </w:r>
      <w:r w:rsidR="001C2344" w:rsidRPr="00571454">
        <w:t>level</w:t>
      </w:r>
      <w:r w:rsidRPr="00571454">
        <w:t>.</w:t>
      </w:r>
    </w:p>
    <w:p w14:paraId="2AB0246B" w14:textId="77777777" w:rsidR="00487FF4" w:rsidRPr="00571454" w:rsidRDefault="00487FF4" w:rsidP="00571454">
      <w:pPr>
        <w:tabs>
          <w:tab w:val="clear" w:pos="3068"/>
        </w:tabs>
        <w:spacing w:line="240" w:lineRule="auto"/>
        <w:rPr>
          <w:rFonts w:asciiTheme="minorHAnsi" w:hAnsiTheme="minorHAnsi" w:cstheme="minorHAnsi"/>
          <w:sz w:val="24"/>
          <w:szCs w:val="24"/>
        </w:rPr>
      </w:pPr>
    </w:p>
    <w:p w14:paraId="23C66919" w14:textId="77777777" w:rsidR="00E102C3" w:rsidRPr="00487FF4" w:rsidRDefault="00E102C3" w:rsidP="00D92716">
      <w:pPr>
        <w:pStyle w:val="6sub-sectiontitle"/>
      </w:pPr>
      <w:r w:rsidRPr="00487FF4">
        <w:t>Instrument</w:t>
      </w:r>
    </w:p>
    <w:p w14:paraId="0DBAA127" w14:textId="63D2C698" w:rsidR="00E102C3" w:rsidRPr="00571454" w:rsidRDefault="00E102C3" w:rsidP="00D92716">
      <w:pPr>
        <w:pStyle w:val="7Body"/>
      </w:pPr>
      <w:r w:rsidRPr="00571454">
        <w:t xml:space="preserve">The course evaluation instrument </w:t>
      </w:r>
      <w:r w:rsidR="00BB41EE" w:rsidRPr="00571454">
        <w:t xml:space="preserve">was </w:t>
      </w:r>
      <w:r w:rsidRPr="00571454">
        <w:t xml:space="preserve">a set of 18 items developed by the </w:t>
      </w:r>
      <w:r w:rsidR="00BB41EE" w:rsidRPr="00571454">
        <w:t>state university system</w:t>
      </w:r>
      <w:r w:rsidRPr="00571454">
        <w:t>. The first eight items were designed to measure the quality of the instructor</w:t>
      </w:r>
      <w:r w:rsidR="00CC7D0E" w:rsidRPr="00571454">
        <w:t xml:space="preserve">, </w:t>
      </w:r>
      <w:r w:rsidRPr="00571454">
        <w:t>concluding with a</w:t>
      </w:r>
      <w:r w:rsidR="006274E0" w:rsidRPr="00571454">
        <w:t xml:space="preserve"> </w:t>
      </w:r>
      <w:r w:rsidRPr="00571454">
        <w:t>global rating</w:t>
      </w:r>
      <w:r w:rsidR="006274E0" w:rsidRPr="00571454">
        <w:t xml:space="preserve"> </w:t>
      </w:r>
      <w:r w:rsidRPr="00571454">
        <w:t>of instructor quality (Item 8:</w:t>
      </w:r>
      <w:r w:rsidR="006274E0" w:rsidRPr="00571454">
        <w:t xml:space="preserve"> </w:t>
      </w:r>
      <w:r w:rsidR="00BB41EE" w:rsidRPr="00571454">
        <w:t>“</w:t>
      </w:r>
      <w:r w:rsidRPr="00571454">
        <w:rPr>
          <w:iCs/>
        </w:rPr>
        <w:t>Overall assessment of instructor</w:t>
      </w:r>
      <w:r w:rsidR="00BB41EE" w:rsidRPr="00571454">
        <w:rPr>
          <w:iCs/>
        </w:rPr>
        <w:t>”</w:t>
      </w:r>
      <w:r w:rsidRPr="00571454">
        <w:t>). The remaining items ask</w:t>
      </w:r>
      <w:r w:rsidR="00BB41EE" w:rsidRPr="00571454">
        <w:t>ed</w:t>
      </w:r>
      <w:r w:rsidRPr="00571454">
        <w:t xml:space="preserve"> students to evaluate components of the course</w:t>
      </w:r>
      <w:r w:rsidR="00CC7D0E" w:rsidRPr="00571454">
        <w:t xml:space="preserve">, </w:t>
      </w:r>
      <w:r w:rsidRPr="00571454">
        <w:t>concluding with a global rating of course organization (Item 18:</w:t>
      </w:r>
      <w:r w:rsidR="006274E0" w:rsidRPr="00571454">
        <w:t xml:space="preserve"> </w:t>
      </w:r>
      <w:r w:rsidR="004B20CE" w:rsidRPr="00571454">
        <w:t>“</w:t>
      </w:r>
      <w:r w:rsidRPr="00571454">
        <w:rPr>
          <w:iCs/>
        </w:rPr>
        <w:t>Overall</w:t>
      </w:r>
      <w:r w:rsidR="00CC7D0E" w:rsidRPr="00571454">
        <w:rPr>
          <w:iCs/>
        </w:rPr>
        <w:t xml:space="preserve">, </w:t>
      </w:r>
      <w:r w:rsidRPr="00571454">
        <w:rPr>
          <w:iCs/>
        </w:rPr>
        <w:t>I would rate the course organization</w:t>
      </w:r>
      <w:r w:rsidR="004B20CE" w:rsidRPr="00571454">
        <w:t>”</w:t>
      </w:r>
      <w:r w:rsidRPr="00571454">
        <w:t>). No formal data on the psychometric properties of the items are available</w:t>
      </w:r>
      <w:r w:rsidR="00CC7D0E" w:rsidRPr="00571454">
        <w:t xml:space="preserve">, </w:t>
      </w:r>
      <w:r w:rsidRPr="00571454">
        <w:t>although all items have obvious</w:t>
      </w:r>
      <w:r w:rsidR="006274E0" w:rsidRPr="00571454">
        <w:t xml:space="preserve"> </w:t>
      </w:r>
      <w:r w:rsidRPr="00571454">
        <w:t>face validity.</w:t>
      </w:r>
      <w:r w:rsidR="00487FF4" w:rsidRPr="00487FF4">
        <w:rPr>
          <w:rStyle w:val="a7"/>
        </w:rPr>
        <w:t xml:space="preserve"> </w:t>
      </w:r>
      <w:r w:rsidR="00487FF4" w:rsidRPr="00571454">
        <w:rPr>
          <w:rStyle w:val="a7"/>
        </w:rPr>
        <w:footnoteReference w:id="1"/>
      </w:r>
      <w:r w:rsidR="00487FF4" w:rsidRPr="00571454">
        <w:rPr>
          <w:rStyle w:val="a7"/>
        </w:rPr>
        <w:footnoteReference w:id="2"/>
      </w:r>
    </w:p>
    <w:p w14:paraId="4BC50A11" w14:textId="77777777" w:rsidR="006274E0" w:rsidRPr="00571454" w:rsidRDefault="00E102C3" w:rsidP="00D92716">
      <w:pPr>
        <w:pStyle w:val="7Body"/>
      </w:pPr>
      <w:r w:rsidRPr="00571454">
        <w:t>Students were asked to rate each instructor as</w:t>
      </w:r>
      <w:r w:rsidR="006274E0" w:rsidRPr="00571454">
        <w:t xml:space="preserve"> </w:t>
      </w:r>
      <w:r w:rsidRPr="00571454">
        <w:rPr>
          <w:i/>
          <w:iCs/>
        </w:rPr>
        <w:t>poo</w:t>
      </w:r>
      <w:r w:rsidR="006274E0" w:rsidRPr="00571454">
        <w:rPr>
          <w:i/>
          <w:iCs/>
        </w:rPr>
        <w:t xml:space="preserve">r </w:t>
      </w:r>
      <w:r w:rsidRPr="00571454">
        <w:t>(0)</w:t>
      </w:r>
      <w:r w:rsidR="00CC7D0E" w:rsidRPr="00571454">
        <w:t xml:space="preserve">, </w:t>
      </w:r>
      <w:r w:rsidRPr="00571454">
        <w:rPr>
          <w:i/>
          <w:iCs/>
        </w:rPr>
        <w:t>fair</w:t>
      </w:r>
      <w:r w:rsidR="006274E0" w:rsidRPr="00571454">
        <w:t xml:space="preserve"> </w:t>
      </w:r>
      <w:r w:rsidRPr="00571454">
        <w:t>(1)</w:t>
      </w:r>
      <w:r w:rsidR="00CC7D0E" w:rsidRPr="00571454">
        <w:t xml:space="preserve">, </w:t>
      </w:r>
      <w:r w:rsidRPr="00571454">
        <w:rPr>
          <w:i/>
          <w:iCs/>
        </w:rPr>
        <w:t>good</w:t>
      </w:r>
      <w:r w:rsidR="006274E0" w:rsidRPr="00571454">
        <w:t xml:space="preserve"> </w:t>
      </w:r>
      <w:r w:rsidRPr="00571454">
        <w:t>(2)</w:t>
      </w:r>
      <w:r w:rsidR="00CC7D0E" w:rsidRPr="00571454">
        <w:t xml:space="preserve">, </w:t>
      </w:r>
      <w:r w:rsidRPr="00571454">
        <w:rPr>
          <w:i/>
          <w:iCs/>
        </w:rPr>
        <w:t>very good</w:t>
      </w:r>
      <w:r w:rsidR="006274E0" w:rsidRPr="00571454">
        <w:t xml:space="preserve"> </w:t>
      </w:r>
      <w:r w:rsidRPr="00571454">
        <w:t>(3)</w:t>
      </w:r>
      <w:r w:rsidR="00CC7D0E" w:rsidRPr="00571454">
        <w:t xml:space="preserve">, </w:t>
      </w:r>
      <w:r w:rsidRPr="00571454">
        <w:t>or</w:t>
      </w:r>
      <w:r w:rsidR="006274E0" w:rsidRPr="00571454">
        <w:t xml:space="preserve"> </w:t>
      </w:r>
      <w:r w:rsidRPr="00571454">
        <w:rPr>
          <w:i/>
          <w:iCs/>
        </w:rPr>
        <w:t>excellent</w:t>
      </w:r>
      <w:r w:rsidR="006274E0" w:rsidRPr="00571454">
        <w:t xml:space="preserve"> </w:t>
      </w:r>
      <w:r w:rsidRPr="00571454">
        <w:t>(4) in response to each item. Evaluation ratings</w:t>
      </w:r>
      <w:r w:rsidR="00CC7D0E" w:rsidRPr="00571454">
        <w:t xml:space="preserve"> </w:t>
      </w:r>
      <w:r w:rsidRPr="00571454">
        <w:t>were subsequently calculated for each course and instructor. A</w:t>
      </w:r>
      <w:r w:rsidR="006274E0" w:rsidRPr="00571454">
        <w:t xml:space="preserve"> </w:t>
      </w:r>
      <w:r w:rsidRPr="00571454">
        <w:t>median</w:t>
      </w:r>
      <w:r w:rsidR="006274E0" w:rsidRPr="00571454">
        <w:t xml:space="preserve"> </w:t>
      </w:r>
      <w:r w:rsidRPr="00571454">
        <w:t>rating was computed when an instructor taught more than one section of a course during a term.</w:t>
      </w:r>
    </w:p>
    <w:p w14:paraId="61201128" w14:textId="4271F12A" w:rsidR="00E102C3" w:rsidRDefault="00E102C3" w:rsidP="00D92716">
      <w:pPr>
        <w:pStyle w:val="7Body"/>
      </w:pPr>
      <w:r w:rsidRPr="00571454">
        <w:t xml:space="preserve">The institution limited our access to SET data for the </w:t>
      </w:r>
      <w:r w:rsidR="004B274A" w:rsidRPr="00571454">
        <w:t xml:space="preserve">3 </w:t>
      </w:r>
      <w:r w:rsidRPr="00571454">
        <w:t xml:space="preserve">years of data requested. </w:t>
      </w:r>
      <w:r w:rsidR="007F2410" w:rsidRPr="00571454">
        <w:t>We</w:t>
      </w:r>
      <w:r w:rsidRPr="00571454">
        <w:t xml:space="preserve"> obtained scores for Item 8 (</w:t>
      </w:r>
      <w:r w:rsidR="007F2410" w:rsidRPr="00571454">
        <w:t>“</w:t>
      </w:r>
      <w:r w:rsidRPr="00571454">
        <w:rPr>
          <w:iCs/>
        </w:rPr>
        <w:t>Overall assessment of instructor</w:t>
      </w:r>
      <w:r w:rsidR="007F2410" w:rsidRPr="00571454">
        <w:rPr>
          <w:iCs/>
        </w:rPr>
        <w:t>”</w:t>
      </w:r>
      <w:r w:rsidRPr="00571454">
        <w:t xml:space="preserve">) for all 3 </w:t>
      </w:r>
      <w:r w:rsidR="00223F0B" w:rsidRPr="00571454">
        <w:t>years but</w:t>
      </w:r>
      <w:r w:rsidRPr="00571454">
        <w:t xml:space="preserve"> could obtain scores for Item 18 (</w:t>
      </w:r>
      <w:r w:rsidR="007F2410" w:rsidRPr="00571454">
        <w:t>“</w:t>
      </w:r>
      <w:r w:rsidRPr="00571454">
        <w:rPr>
          <w:iCs/>
        </w:rPr>
        <w:t>Overall</w:t>
      </w:r>
      <w:r w:rsidR="00CC7D0E" w:rsidRPr="00571454">
        <w:rPr>
          <w:iCs/>
        </w:rPr>
        <w:t xml:space="preserve">, </w:t>
      </w:r>
      <w:r w:rsidRPr="00571454">
        <w:rPr>
          <w:iCs/>
        </w:rPr>
        <w:t>I would rate the course organization</w:t>
      </w:r>
      <w:r w:rsidR="007F2410" w:rsidRPr="00571454">
        <w:rPr>
          <w:iCs/>
        </w:rPr>
        <w:t>”</w:t>
      </w:r>
      <w:r w:rsidRPr="00571454">
        <w:t xml:space="preserve">) </w:t>
      </w:r>
      <w:r w:rsidR="00BC1D76" w:rsidRPr="00571454">
        <w:t xml:space="preserve">only </w:t>
      </w:r>
      <w:r w:rsidRPr="00571454">
        <w:t xml:space="preserve">for </w:t>
      </w:r>
      <w:r w:rsidR="007F2410" w:rsidRPr="00571454">
        <w:t>Year 3</w:t>
      </w:r>
      <w:r w:rsidRPr="00571454">
        <w:t xml:space="preserve">. </w:t>
      </w:r>
      <w:r w:rsidR="007F2410" w:rsidRPr="00571454">
        <w:t>We</w:t>
      </w:r>
      <w:r w:rsidRPr="00571454">
        <w:t xml:space="preserve"> computed the</w:t>
      </w:r>
      <w:r w:rsidR="006274E0" w:rsidRPr="00571454">
        <w:t xml:space="preserve"> </w:t>
      </w:r>
      <w:r w:rsidRPr="00571454">
        <w:t>correlation</w:t>
      </w:r>
      <w:r w:rsidR="006274E0" w:rsidRPr="00571454">
        <w:t xml:space="preserve"> </w:t>
      </w:r>
      <w:r w:rsidRPr="00571454">
        <w:t xml:space="preserve">between scores on Item 8 and Item 18 (from course data recorded in the </w:t>
      </w:r>
      <w:r w:rsidR="00BB41EE" w:rsidRPr="00571454">
        <w:t>3rd year</w:t>
      </w:r>
      <w:r w:rsidRPr="00571454">
        <w:t xml:space="preserve"> only) to estimate the</w:t>
      </w:r>
      <w:r w:rsidR="006274E0" w:rsidRPr="00571454">
        <w:t xml:space="preserve"> </w:t>
      </w:r>
      <w:r w:rsidRPr="00571454">
        <w:t>internal consistency</w:t>
      </w:r>
      <w:r w:rsidR="006274E0" w:rsidRPr="00571454">
        <w:t xml:space="preserve"> </w:t>
      </w:r>
      <w:r w:rsidRPr="00571454">
        <w:t>of the evaluation instrument. These two items</w:t>
      </w:r>
      <w:r w:rsidR="00CC7D0E" w:rsidRPr="00571454">
        <w:t xml:space="preserve">, </w:t>
      </w:r>
      <w:r w:rsidRPr="00571454">
        <w:t xml:space="preserve">which serve as composite summaries of preceding items (Item 8 </w:t>
      </w:r>
      <w:r w:rsidR="005C4840" w:rsidRPr="00571454">
        <w:t xml:space="preserve">for Items 1–7 </w:t>
      </w:r>
      <w:r w:rsidRPr="00571454">
        <w:t xml:space="preserve">and Item </w:t>
      </w:r>
      <w:r w:rsidRPr="00571454">
        <w:lastRenderedPageBreak/>
        <w:t>18</w:t>
      </w:r>
      <w:r w:rsidR="005C4840" w:rsidRPr="00571454">
        <w:t xml:space="preserve"> for Items 9–17</w:t>
      </w:r>
      <w:r w:rsidRPr="00571454">
        <w:t>)</w:t>
      </w:r>
      <w:r w:rsidR="00CC7D0E" w:rsidRPr="00571454">
        <w:t xml:space="preserve">, </w:t>
      </w:r>
      <w:r w:rsidRPr="00571454">
        <w:t>were strongly related</w:t>
      </w:r>
      <w:r w:rsidR="00CC7D0E" w:rsidRPr="00571454">
        <w:t xml:space="preserve">, </w:t>
      </w:r>
      <w:proofErr w:type="gramStart"/>
      <w:r w:rsidRPr="00571454">
        <w:rPr>
          <w:i/>
          <w:iCs/>
        </w:rPr>
        <w:t>r</w:t>
      </w:r>
      <w:r w:rsidRPr="00571454">
        <w:t>(</w:t>
      </w:r>
      <w:proofErr w:type="gramEnd"/>
      <w:r w:rsidRPr="00571454">
        <w:t>362) = .92.</w:t>
      </w:r>
      <w:r w:rsidR="006274E0" w:rsidRPr="00571454">
        <w:t xml:space="preserve"> </w:t>
      </w:r>
      <w:proofErr w:type="spellStart"/>
      <w:r w:rsidRPr="00571454">
        <w:t>Feistauer</w:t>
      </w:r>
      <w:proofErr w:type="spellEnd"/>
      <w:r w:rsidRPr="00571454">
        <w:t xml:space="preserve"> and Richter (2016)</w:t>
      </w:r>
      <w:r w:rsidR="006274E0" w:rsidRPr="00571454">
        <w:t xml:space="preserve"> </w:t>
      </w:r>
      <w:r w:rsidRPr="00571454">
        <w:t>also report</w:t>
      </w:r>
      <w:r w:rsidR="00BB41EE" w:rsidRPr="00571454">
        <w:t>ed</w:t>
      </w:r>
      <w:r w:rsidRPr="00571454">
        <w:t xml:space="preserve"> strong correlations between global items in a large analysis of SET responses.</w:t>
      </w:r>
    </w:p>
    <w:p w14:paraId="283DBF5C" w14:textId="77777777" w:rsidR="00487FF4" w:rsidRPr="00571454" w:rsidRDefault="00487FF4" w:rsidP="00571454">
      <w:pPr>
        <w:tabs>
          <w:tab w:val="clear" w:pos="3068"/>
        </w:tabs>
        <w:spacing w:line="240" w:lineRule="auto"/>
        <w:rPr>
          <w:rFonts w:asciiTheme="minorHAnsi" w:hAnsiTheme="minorHAnsi" w:cstheme="minorHAnsi"/>
          <w:sz w:val="24"/>
          <w:szCs w:val="24"/>
        </w:rPr>
      </w:pPr>
    </w:p>
    <w:p w14:paraId="0E594364" w14:textId="77777777" w:rsidR="00B40BBE" w:rsidRPr="00571454" w:rsidRDefault="00B40BBE" w:rsidP="00D92716">
      <w:pPr>
        <w:pStyle w:val="5Sectiontitle"/>
      </w:pPr>
      <w:r w:rsidRPr="00571454">
        <w:t>Discussion</w:t>
      </w:r>
    </w:p>
    <w:p w14:paraId="117AFB91" w14:textId="77777777" w:rsidR="00B40BBE" w:rsidRPr="00571454" w:rsidRDefault="001C2344" w:rsidP="00D92716">
      <w:pPr>
        <w:pStyle w:val="7Body"/>
      </w:pPr>
      <w:r w:rsidRPr="00571454">
        <w:t>O</w:t>
      </w:r>
      <w:r w:rsidR="00B40BBE" w:rsidRPr="00571454">
        <w:t xml:space="preserve">nline administration of SETs </w:t>
      </w:r>
      <w:r w:rsidR="00322A54" w:rsidRPr="00571454">
        <w:t>in this</w:t>
      </w:r>
      <w:r w:rsidR="00714A71" w:rsidRPr="00571454">
        <w:t xml:space="preserve"> study</w:t>
      </w:r>
      <w:r w:rsidR="00322A54" w:rsidRPr="00571454">
        <w:t xml:space="preserve"> </w:t>
      </w:r>
      <w:r w:rsidR="00714A71" w:rsidRPr="00571454">
        <w:t>was associated with</w:t>
      </w:r>
      <w:r w:rsidR="00B40BBE" w:rsidRPr="00571454">
        <w:t xml:space="preserve"> lower response rates</w:t>
      </w:r>
      <w:r w:rsidRPr="00571454">
        <w:t>, yet it</w:t>
      </w:r>
      <w:r w:rsidR="005922A9" w:rsidRPr="00571454">
        <w:t xml:space="preserve"> is curious that </w:t>
      </w:r>
      <w:r w:rsidR="00B40BBE" w:rsidRPr="00571454">
        <w:t>online courses experienced a 10% increase in response rate when all courses were evaluated with online forms in Year 3. Online courses had suffered from chronically low response rates in previous years</w:t>
      </w:r>
      <w:r w:rsidR="00CC7D0E" w:rsidRPr="00571454">
        <w:t xml:space="preserve">, </w:t>
      </w:r>
      <w:r w:rsidR="00B40BBE" w:rsidRPr="00571454">
        <w:t>when face-to-face classes continued to use paper-based forms. The benefit to response rates observed for online courses when all SET forms were administered online might be attributed to increased communications that encouraged students to complete the online course evaluations. Despite this improvement</w:t>
      </w:r>
      <w:r w:rsidR="00CC7D0E" w:rsidRPr="00571454">
        <w:t xml:space="preserve">, </w:t>
      </w:r>
      <w:r w:rsidR="00B40BBE" w:rsidRPr="00571454">
        <w:t xml:space="preserve">response rates for online courses continued to lag behind those for face-to-face courses. Differences </w:t>
      </w:r>
      <w:r w:rsidR="00223F0B" w:rsidRPr="00571454">
        <w:t>in</w:t>
      </w:r>
      <w:r w:rsidR="00B40BBE" w:rsidRPr="00571454">
        <w:t xml:space="preserve"> response rates for face-to-face and online courses might be attributed to characteristics of the students who enrolled or to differences in the quality of student engagement created in each learning modality.</w:t>
      </w:r>
      <w:r w:rsidR="006274E0" w:rsidRPr="00571454">
        <w:t xml:space="preserve"> </w:t>
      </w:r>
      <w:r w:rsidR="00B40BBE" w:rsidRPr="00571454">
        <w:t>Avery et al. (2006)</w:t>
      </w:r>
      <w:r w:rsidR="00DE1469" w:rsidRPr="00571454">
        <w:t xml:space="preserve"> </w:t>
      </w:r>
      <w:r w:rsidR="00B40BBE" w:rsidRPr="00571454">
        <w:t>found that higher</w:t>
      </w:r>
      <w:r w:rsidR="005922A9" w:rsidRPr="00571454">
        <w:t xml:space="preserve"> </w:t>
      </w:r>
      <w:r w:rsidR="00B40BBE" w:rsidRPr="00571454">
        <w:t>performing students (defined as students with higher GPAs) were more likely to complete online SETs.</w:t>
      </w:r>
    </w:p>
    <w:p w14:paraId="5FE2EF04" w14:textId="78813929" w:rsidR="00B40BBE" w:rsidRDefault="005922A9" w:rsidP="00D92716">
      <w:pPr>
        <w:pStyle w:val="7Body"/>
      </w:pPr>
      <w:r w:rsidRPr="00571454">
        <w:t xml:space="preserve">Faculty have often raised concerns about the </w:t>
      </w:r>
      <w:r w:rsidR="001D7F11" w:rsidRPr="00571454">
        <w:t xml:space="preserve">potential </w:t>
      </w:r>
      <w:r w:rsidRPr="00571454">
        <w:t xml:space="preserve">variability of SET scores due to low response rates and thus small sample sizes. </w:t>
      </w:r>
      <w:r w:rsidR="00B40BBE" w:rsidRPr="00571454">
        <w:t>However</w:t>
      </w:r>
      <w:r w:rsidR="00CC7D0E" w:rsidRPr="00571454">
        <w:t xml:space="preserve">, </w:t>
      </w:r>
      <w:r w:rsidR="00B40BBE" w:rsidRPr="00571454">
        <w:t xml:space="preserve">our analysis </w:t>
      </w:r>
      <w:r w:rsidRPr="00571454">
        <w:t xml:space="preserve">indicated </w:t>
      </w:r>
      <w:r w:rsidR="00B40BBE" w:rsidRPr="00571454">
        <w:t>that classes with high response rates produced equally variable SET scores as did classes with low response rates. Reviewers should take extra care when they interpret SET scores</w:t>
      </w:r>
      <w:r w:rsidR="00E64A41" w:rsidRPr="00571454">
        <w:t>. Decision</w:t>
      </w:r>
      <w:r w:rsidR="006274E0" w:rsidRPr="00571454">
        <w:t xml:space="preserve"> </w:t>
      </w:r>
      <w:r w:rsidR="00B40BBE" w:rsidRPr="00571454">
        <w:t>makers often ignore questions about whether means derived from small samples accurately represent the population mean (Tversky &amp; Kahneman</w:t>
      </w:r>
      <w:r w:rsidR="00CC7D0E" w:rsidRPr="00571454">
        <w:t xml:space="preserve">, </w:t>
      </w:r>
      <w:r w:rsidR="00B40BBE" w:rsidRPr="00571454">
        <w:t>1971).</w:t>
      </w:r>
      <w:r w:rsidR="001C2344" w:rsidRPr="00571454" w:rsidDel="001C2344">
        <w:t xml:space="preserve"> </w:t>
      </w:r>
      <w:r w:rsidR="001C2344" w:rsidRPr="00571454">
        <w:t>R</w:t>
      </w:r>
      <w:r w:rsidR="00B40BBE" w:rsidRPr="00571454">
        <w:t xml:space="preserve">eviewers frequently treat all numeric differences as if they </w:t>
      </w:r>
      <w:r w:rsidR="006274E0" w:rsidRPr="00571454">
        <w:t xml:space="preserve">were </w:t>
      </w:r>
      <w:r w:rsidR="00B40BBE" w:rsidRPr="00571454">
        <w:t>equally meaningful as measures of true differences</w:t>
      </w:r>
      <w:r w:rsidR="00E64A41" w:rsidRPr="00571454">
        <w:t xml:space="preserve"> and </w:t>
      </w:r>
      <w:r w:rsidR="00B40BBE" w:rsidRPr="00571454">
        <w:t>give</w:t>
      </w:r>
      <w:r w:rsidR="00E64A41" w:rsidRPr="00571454">
        <w:t xml:space="preserve"> them </w:t>
      </w:r>
      <w:r w:rsidR="00B40BBE" w:rsidRPr="00571454">
        <w:t>credibility even after receiving explicit warnings that these differences are not meaningful</w:t>
      </w:r>
      <w:r w:rsidR="00E64A41" w:rsidRPr="00571454">
        <w:t xml:space="preserve"> (Boysen, 2015a, 2015b)</w:t>
      </w:r>
      <w:r w:rsidR="00B40BBE" w:rsidRPr="00571454">
        <w:t>.</w:t>
      </w:r>
    </w:p>
    <w:p w14:paraId="107AD54E" w14:textId="77777777" w:rsidR="006A0399" w:rsidRPr="00571454" w:rsidRDefault="006A0399" w:rsidP="00D92716">
      <w:pPr>
        <w:pStyle w:val="7Body"/>
      </w:pPr>
    </w:p>
    <w:p w14:paraId="14038D88" w14:textId="77777777" w:rsidR="00B40BBE" w:rsidRPr="00571454" w:rsidRDefault="00B40BBE" w:rsidP="00D92716">
      <w:pPr>
        <w:pStyle w:val="5Sectiontitle"/>
      </w:pPr>
      <w:r w:rsidRPr="00571454">
        <w:t>Implications for Practice</w:t>
      </w:r>
    </w:p>
    <w:p w14:paraId="1508C05E" w14:textId="1473A778" w:rsidR="00487FF4" w:rsidRDefault="00B40BBE" w:rsidP="00D92716">
      <w:pPr>
        <w:pStyle w:val="7Body"/>
      </w:pPr>
      <w:r w:rsidRPr="00571454">
        <w:t>When decision</w:t>
      </w:r>
      <w:r w:rsidR="006274E0" w:rsidRPr="00571454">
        <w:t xml:space="preserve"> </w:t>
      </w:r>
      <w:r w:rsidRPr="00571454">
        <w:t>makers use SET data to make high-stakes decisions (faculty hires</w:t>
      </w:r>
      <w:r w:rsidR="00CC7D0E" w:rsidRPr="00571454">
        <w:t xml:space="preserve">, </w:t>
      </w:r>
      <w:r w:rsidRPr="00571454">
        <w:t>annual evaluations</w:t>
      </w:r>
      <w:r w:rsidR="00CC7D0E" w:rsidRPr="00571454">
        <w:t xml:space="preserve">, </w:t>
      </w:r>
      <w:r w:rsidRPr="00571454">
        <w:t>tenure</w:t>
      </w:r>
      <w:r w:rsidR="00CC7D0E" w:rsidRPr="00571454">
        <w:t xml:space="preserve">, </w:t>
      </w:r>
      <w:r w:rsidRPr="00571454">
        <w:t>promotion</w:t>
      </w:r>
      <w:r w:rsidR="001D7F11" w:rsidRPr="00571454">
        <w:t>s</w:t>
      </w:r>
      <w:r w:rsidR="00CC7D0E" w:rsidRPr="00571454">
        <w:t xml:space="preserve">, </w:t>
      </w:r>
      <w:r w:rsidRPr="00571454">
        <w:t>teaching awards)</w:t>
      </w:r>
      <w:r w:rsidR="00CC7D0E" w:rsidRPr="00571454">
        <w:t xml:space="preserve">, </w:t>
      </w:r>
      <w:r w:rsidRPr="00571454">
        <w:t>institutions would be wise to take steps to ensure that SETs have acceptable response rates.</w:t>
      </w:r>
      <w:r w:rsidR="006274E0" w:rsidRPr="00571454">
        <w:t xml:space="preserve"> </w:t>
      </w:r>
      <w:r w:rsidR="00714A71" w:rsidRPr="00571454">
        <w:t>Researchers</w:t>
      </w:r>
      <w:r w:rsidRPr="00571454">
        <w:t xml:space="preserve"> </w:t>
      </w:r>
      <w:r w:rsidR="003C5C48" w:rsidRPr="00571454">
        <w:t xml:space="preserve">have </w:t>
      </w:r>
      <w:r w:rsidRPr="00571454">
        <w:t>discuss</w:t>
      </w:r>
      <w:r w:rsidR="003C5C48" w:rsidRPr="00571454">
        <w:t>ed</w:t>
      </w:r>
      <w:r w:rsidRPr="00571454">
        <w:t xml:space="preserve"> effective strategies to improve response rates for SETs</w:t>
      </w:r>
      <w:r w:rsidR="003A71C8" w:rsidRPr="00571454">
        <w:t xml:space="preserve"> (</w:t>
      </w:r>
      <w:proofErr w:type="spellStart"/>
      <w:r w:rsidR="00DD6423" w:rsidRPr="00571454">
        <w:t>Nulty</w:t>
      </w:r>
      <w:proofErr w:type="spellEnd"/>
      <w:r w:rsidR="00DD6423" w:rsidRPr="00571454">
        <w:t>, 2008</w:t>
      </w:r>
      <w:r w:rsidR="003A71C8" w:rsidRPr="00571454">
        <w:t xml:space="preserve">; see also </w:t>
      </w:r>
      <w:r w:rsidR="00DD6423" w:rsidRPr="00571454">
        <w:t xml:space="preserve">Berk, 2013; </w:t>
      </w:r>
      <w:proofErr w:type="spellStart"/>
      <w:r w:rsidR="003A71C8" w:rsidRPr="00571454">
        <w:t>Dommeyer</w:t>
      </w:r>
      <w:proofErr w:type="spellEnd"/>
      <w:r w:rsidR="003A71C8" w:rsidRPr="00571454">
        <w:t xml:space="preserve"> et al., 2004;</w:t>
      </w:r>
      <w:r w:rsidR="006274E0" w:rsidRPr="00571454">
        <w:t xml:space="preserve"> </w:t>
      </w:r>
      <w:proofErr w:type="spellStart"/>
      <w:r w:rsidR="003A71C8" w:rsidRPr="00571454">
        <w:t>Jaquett</w:t>
      </w:r>
      <w:proofErr w:type="spellEnd"/>
      <w:r w:rsidR="003A71C8" w:rsidRPr="00571454">
        <w:t xml:space="preserve"> et al., 2016)</w:t>
      </w:r>
      <w:r w:rsidRPr="00571454">
        <w:t>. These strategies include offering empirically validated incentives</w:t>
      </w:r>
      <w:r w:rsidR="00CC7D0E" w:rsidRPr="00571454">
        <w:t xml:space="preserve">, </w:t>
      </w:r>
      <w:r w:rsidRPr="00571454">
        <w:t>creating high-quality technical systems with good human factors characteristics</w:t>
      </w:r>
      <w:r w:rsidR="00CC7D0E" w:rsidRPr="00571454">
        <w:t xml:space="preserve">, </w:t>
      </w:r>
      <w:r w:rsidRPr="00571454">
        <w:t>and promoting an institutional culture that clearly supports the use of SET data and other information to improve the quality of teaching and learning. Programs and instructors must discuss why information from SETs is important for decision</w:t>
      </w:r>
      <w:r w:rsidR="004B20CE" w:rsidRPr="00571454">
        <w:t>-</w:t>
      </w:r>
      <w:r w:rsidRPr="00571454">
        <w:t>making and provide students</w:t>
      </w:r>
      <w:r w:rsidR="00BB2D3E" w:rsidRPr="00571454">
        <w:t xml:space="preserve"> with</w:t>
      </w:r>
      <w:r w:rsidRPr="00571454">
        <w:t xml:space="preserve"> tangible evidence </w:t>
      </w:r>
      <w:r w:rsidR="00B13488" w:rsidRPr="00571454">
        <w:t>o</w:t>
      </w:r>
      <w:r w:rsidR="00BB2D3E" w:rsidRPr="00571454">
        <w:t>f</w:t>
      </w:r>
      <w:r w:rsidRPr="00571454">
        <w:t xml:space="preserve"> how SET information guides decision</w:t>
      </w:r>
      <w:r w:rsidR="00B13488" w:rsidRPr="00571454">
        <w:t>s about</w:t>
      </w:r>
      <w:r w:rsidR="006274E0" w:rsidRPr="00571454">
        <w:t xml:space="preserve"> </w:t>
      </w:r>
      <w:r w:rsidR="00B13488" w:rsidRPr="00571454">
        <w:t>curriculum</w:t>
      </w:r>
      <w:r w:rsidR="006274E0" w:rsidRPr="00571454">
        <w:t xml:space="preserve"> </w:t>
      </w:r>
      <w:r w:rsidR="00B13488" w:rsidRPr="00571454">
        <w:t>improvement</w:t>
      </w:r>
      <w:r w:rsidRPr="00571454">
        <w:t xml:space="preserve">. </w:t>
      </w:r>
      <w:r w:rsidR="00E64A41" w:rsidRPr="00571454">
        <w:t>T</w:t>
      </w:r>
      <w:r w:rsidRPr="00571454">
        <w:t>he institution should provide students with compelling evidence that the administration system protects the</w:t>
      </w:r>
      <w:r w:rsidR="006274E0" w:rsidRPr="00571454">
        <w:t xml:space="preserve"> </w:t>
      </w:r>
      <w:r w:rsidRPr="00571454">
        <w:t>confidentiality</w:t>
      </w:r>
      <w:r w:rsidR="00DE1469" w:rsidRPr="00571454">
        <w:t xml:space="preserve"> </w:t>
      </w:r>
      <w:r w:rsidRPr="00571454">
        <w:t>of their responses.</w:t>
      </w:r>
    </w:p>
    <w:p w14:paraId="33EC54E7" w14:textId="77777777" w:rsidR="00D92716" w:rsidRPr="00D92716" w:rsidRDefault="00D92716" w:rsidP="00D92716">
      <w:pPr>
        <w:pStyle w:val="7Body"/>
      </w:pPr>
    </w:p>
    <w:p w14:paraId="23C87869" w14:textId="244C0FD9" w:rsidR="00B13488" w:rsidRPr="00571454" w:rsidRDefault="00B13488" w:rsidP="00D92716">
      <w:pPr>
        <w:pStyle w:val="5Sectiontitle"/>
      </w:pPr>
      <w:r w:rsidRPr="00571454">
        <w:t>Conclusion</w:t>
      </w:r>
    </w:p>
    <w:p w14:paraId="5CC01388" w14:textId="77777777" w:rsidR="00B40BBE" w:rsidRPr="00571454" w:rsidRDefault="00B40BBE" w:rsidP="00D92716">
      <w:pPr>
        <w:pStyle w:val="7Body"/>
      </w:pPr>
      <w:r w:rsidRPr="00571454">
        <w:t>Psychology has a long history of devising creative strategies to measure the “unmeasurable,” whether the targeted variable is a mental process</w:t>
      </w:r>
      <w:r w:rsidR="00CC7D0E" w:rsidRPr="00571454">
        <w:t xml:space="preserve">, </w:t>
      </w:r>
      <w:r w:rsidRPr="00571454">
        <w:t>an attitude</w:t>
      </w:r>
      <w:r w:rsidR="00CC7D0E" w:rsidRPr="00571454">
        <w:t xml:space="preserve">, </w:t>
      </w:r>
      <w:r w:rsidRPr="00571454">
        <w:t>or the quality of teaching (e.g.</w:t>
      </w:r>
      <w:r w:rsidR="00CC7D0E" w:rsidRPr="00571454">
        <w:t xml:space="preserve">, </w:t>
      </w:r>
      <w:r w:rsidRPr="00571454">
        <w:t>Webb</w:t>
      </w:r>
      <w:r w:rsidR="00DE1469" w:rsidRPr="00571454">
        <w:t xml:space="preserve"> et al.</w:t>
      </w:r>
      <w:r w:rsidR="00CC7D0E" w:rsidRPr="00571454">
        <w:t xml:space="preserve">, </w:t>
      </w:r>
      <w:r w:rsidRPr="00571454">
        <w:t>1966). In addition</w:t>
      </w:r>
      <w:r w:rsidR="00CC7D0E" w:rsidRPr="00571454">
        <w:t xml:space="preserve">, </w:t>
      </w:r>
      <w:r w:rsidRPr="00571454">
        <w:t xml:space="preserve">psychologists have documented </w:t>
      </w:r>
      <w:r w:rsidR="00966505" w:rsidRPr="00571454">
        <w:t xml:space="preserve">various </w:t>
      </w:r>
      <w:r w:rsidRPr="00571454">
        <w:lastRenderedPageBreak/>
        <w:t>heuristics</w:t>
      </w:r>
      <w:r w:rsidR="006274E0" w:rsidRPr="00571454">
        <w:t xml:space="preserve"> </w:t>
      </w:r>
      <w:r w:rsidRPr="00571454">
        <w:t>and biases that contribute to the misinterpretation of</w:t>
      </w:r>
      <w:r w:rsidR="006274E0" w:rsidRPr="00571454">
        <w:t xml:space="preserve"> </w:t>
      </w:r>
      <w:r w:rsidRPr="00571454">
        <w:t>quantitative data</w:t>
      </w:r>
      <w:r w:rsidR="006274E0" w:rsidRPr="00571454">
        <w:t xml:space="preserve"> </w:t>
      </w:r>
      <w:r w:rsidRPr="00571454">
        <w:t>(Gilovich</w:t>
      </w:r>
      <w:r w:rsidR="00DE1469" w:rsidRPr="00571454">
        <w:t xml:space="preserve"> et al.</w:t>
      </w:r>
      <w:r w:rsidR="00CC7D0E" w:rsidRPr="00571454">
        <w:t xml:space="preserve">, </w:t>
      </w:r>
      <w:r w:rsidRPr="00571454">
        <w:t>2002)</w:t>
      </w:r>
      <w:r w:rsidR="00CC7D0E" w:rsidRPr="00571454">
        <w:t xml:space="preserve">, </w:t>
      </w:r>
      <w:r w:rsidRPr="00571454">
        <w:t>including SET scores (Boysen</w:t>
      </w:r>
      <w:r w:rsidR="00CC7D0E" w:rsidRPr="00571454">
        <w:t xml:space="preserve">, </w:t>
      </w:r>
      <w:r w:rsidRPr="00571454">
        <w:t>2015a</w:t>
      </w:r>
      <w:r w:rsidR="00CC7D0E" w:rsidRPr="00571454">
        <w:t xml:space="preserve">, </w:t>
      </w:r>
      <w:r w:rsidRPr="00571454">
        <w:t>2015b;</w:t>
      </w:r>
      <w:r w:rsidR="006274E0" w:rsidRPr="00571454">
        <w:t xml:space="preserve"> </w:t>
      </w:r>
      <w:r w:rsidRPr="00571454">
        <w:t>Boysen et al.</w:t>
      </w:r>
      <w:r w:rsidR="00CC7D0E" w:rsidRPr="00571454">
        <w:t xml:space="preserve">, </w:t>
      </w:r>
      <w:r w:rsidRPr="00571454">
        <w:t>2014). These skills enable psychologists to offer multiple solutions to the challenge posed by the need to objectively evaluate the quality of teaching and the impact of teaching on student learning.</w:t>
      </w:r>
    </w:p>
    <w:p w14:paraId="4FBA3BDF" w14:textId="4E409B4C" w:rsidR="00B40BBE" w:rsidRDefault="00B40BBE" w:rsidP="00D92716">
      <w:pPr>
        <w:pStyle w:val="7Body"/>
      </w:pPr>
      <w:r w:rsidRPr="00571454">
        <w:t>Online administration of SET forms presents multiple desirable features</w:t>
      </w:r>
      <w:r w:rsidR="00CC7D0E" w:rsidRPr="00571454">
        <w:t xml:space="preserve">, </w:t>
      </w:r>
      <w:r w:rsidRPr="00571454">
        <w:t>including rapid feedback to instructors</w:t>
      </w:r>
      <w:r w:rsidR="00CC7D0E" w:rsidRPr="00571454">
        <w:t xml:space="preserve">, </w:t>
      </w:r>
      <w:r w:rsidRPr="00571454">
        <w:t>economy</w:t>
      </w:r>
      <w:r w:rsidR="00CC7D0E" w:rsidRPr="00571454">
        <w:t xml:space="preserve">, </w:t>
      </w:r>
      <w:r w:rsidRPr="00571454">
        <w:t>and support for environmental sustainability. However</w:t>
      </w:r>
      <w:r w:rsidR="00CC7D0E" w:rsidRPr="00571454">
        <w:t xml:space="preserve">, </w:t>
      </w:r>
      <w:r w:rsidRPr="00571454">
        <w:t>institutions should adopt implementation procedures that do not undermine the usefulness of the data gathered. Moreover</w:t>
      </w:r>
      <w:r w:rsidR="00CC7D0E" w:rsidRPr="00571454">
        <w:t xml:space="preserve">, </w:t>
      </w:r>
      <w:r w:rsidRPr="00571454">
        <w:t>institutions should be wary of emphasizing procedures that produce high response rates only to lull faculty into believing that SET data can be the primary (or only) metric used for high-stakes decisions about the quality of faculty teaching. Instead</w:t>
      </w:r>
      <w:r w:rsidR="00CC7D0E" w:rsidRPr="00571454">
        <w:t xml:space="preserve">, </w:t>
      </w:r>
      <w:r w:rsidRPr="00571454">
        <w:t>decision</w:t>
      </w:r>
      <w:r w:rsidR="006274E0" w:rsidRPr="00571454">
        <w:t xml:space="preserve"> </w:t>
      </w:r>
      <w:r w:rsidRPr="00571454">
        <w:t>makers should expect to use multiple measures to evaluate the quality of faculty teaching.</w:t>
      </w:r>
    </w:p>
    <w:p w14:paraId="1F92A1F5" w14:textId="575BE455" w:rsidR="003069D0" w:rsidRDefault="003069D0" w:rsidP="00D92716">
      <w:pPr>
        <w:pStyle w:val="7Body"/>
      </w:pPr>
    </w:p>
    <w:p w14:paraId="7B5370C9" w14:textId="3C2297C7" w:rsidR="003069D0" w:rsidRDefault="003069D0" w:rsidP="00D92716">
      <w:pPr>
        <w:pStyle w:val="7Body"/>
        <w:rPr>
          <w:color w:val="FF0000"/>
          <w:lang w:eastAsia="ko-KR"/>
        </w:rPr>
      </w:pPr>
      <w:r w:rsidRPr="003069D0">
        <w:rPr>
          <w:color w:val="FF0000"/>
          <w:lang w:eastAsia="ko-KR"/>
        </w:rPr>
        <w:t>F</w:t>
      </w:r>
      <w:r w:rsidRPr="003069D0">
        <w:rPr>
          <w:rFonts w:hint="eastAsia"/>
          <w:color w:val="FF0000"/>
          <w:lang w:eastAsia="ko-KR"/>
        </w:rPr>
        <w:t xml:space="preserve">inal </w:t>
      </w:r>
      <w:r w:rsidRPr="003069D0">
        <w:rPr>
          <w:color w:val="FF0000"/>
          <w:lang w:eastAsia="ko-KR"/>
        </w:rPr>
        <w:t xml:space="preserve">paper </w:t>
      </w:r>
      <w:r>
        <w:rPr>
          <w:color w:val="FF0000"/>
          <w:lang w:eastAsia="ko-KR"/>
        </w:rPr>
        <w:t>length is 8 – 12 pages, except for reference, tables, figures, etc.</w:t>
      </w:r>
    </w:p>
    <w:p w14:paraId="1BCF1659" w14:textId="77777777" w:rsidR="009D6B43" w:rsidRDefault="009D6B43" w:rsidP="00D92716">
      <w:pPr>
        <w:pStyle w:val="7Body"/>
        <w:rPr>
          <w:color w:val="FF0000"/>
          <w:lang w:eastAsia="ko-KR"/>
        </w:rPr>
      </w:pPr>
    </w:p>
    <w:p w14:paraId="16259479" w14:textId="38944857" w:rsidR="00AB7AC2" w:rsidRPr="00AB7AC2" w:rsidRDefault="00AB7AC2" w:rsidP="00D92716">
      <w:pPr>
        <w:pStyle w:val="7Body"/>
        <w:rPr>
          <w:rFonts w:hint="eastAsia"/>
          <w:color w:val="FF0000"/>
          <w:lang w:eastAsia="ko-KR"/>
        </w:rPr>
      </w:pPr>
      <w:r>
        <w:rPr>
          <w:color w:val="FF0000"/>
          <w:lang w:eastAsia="ko-KR"/>
        </w:rPr>
        <w:t>For t</w:t>
      </w:r>
      <w:r>
        <w:rPr>
          <w:rFonts w:hint="eastAsia"/>
          <w:color w:val="FF0000"/>
          <w:lang w:eastAsia="ko-KR"/>
        </w:rPr>
        <w:t xml:space="preserve">his </w:t>
      </w:r>
      <w:r>
        <w:rPr>
          <w:color w:val="FF0000"/>
          <w:lang w:eastAsia="ko-KR"/>
        </w:rPr>
        <w:t xml:space="preserve">template, we </w:t>
      </w:r>
      <w:r w:rsidR="009D6B43">
        <w:rPr>
          <w:color w:val="FF0000"/>
          <w:lang w:eastAsia="ko-KR"/>
        </w:rPr>
        <w:t xml:space="preserve">consider </w:t>
      </w:r>
      <w:r w:rsidR="009D6B43">
        <w:rPr>
          <w:color w:val="FF0000"/>
          <w:lang w:eastAsia="ko-KR"/>
        </w:rPr>
        <w:t>APA style formatting standards</w:t>
      </w:r>
      <w:r w:rsidR="009D6B43">
        <w:rPr>
          <w:color w:val="FF0000"/>
          <w:lang w:eastAsia="ko-KR"/>
        </w:rPr>
        <w:t xml:space="preserve">. This template is slightly adjusted version of </w:t>
      </w:r>
      <w:r>
        <w:rPr>
          <w:color w:val="FF0000"/>
          <w:lang w:eastAsia="ko-KR"/>
        </w:rPr>
        <w:t>APA’s sample paper</w:t>
      </w:r>
      <w:r w:rsidR="009D6B43">
        <w:rPr>
          <w:color w:val="FF0000"/>
          <w:lang w:eastAsia="ko-KR"/>
        </w:rPr>
        <w:t xml:space="preserve"> that can be found here: </w:t>
      </w:r>
      <w:r w:rsidR="009D6B43" w:rsidRPr="009D6B43">
        <w:rPr>
          <w:color w:val="FF0000"/>
          <w:lang w:eastAsia="ko-KR"/>
        </w:rPr>
        <w:t>https://apastyle.apa.org/style-grammar-guidelines/paper-format/sample-papers</w:t>
      </w:r>
    </w:p>
    <w:p w14:paraId="30BFE5C1" w14:textId="385DE80F" w:rsidR="0033707E" w:rsidRPr="0033707E" w:rsidRDefault="0033707E" w:rsidP="00D92716">
      <w:pPr>
        <w:pStyle w:val="3abstract"/>
      </w:pPr>
      <w:r w:rsidRPr="0033707E">
        <w:t>A</w:t>
      </w:r>
      <w:r w:rsidR="00D92716">
        <w:t>cknowledgements</w:t>
      </w:r>
    </w:p>
    <w:p w14:paraId="3697B054" w14:textId="78E7DF96" w:rsidR="00B40BBE" w:rsidRPr="00571454" w:rsidRDefault="0033707E" w:rsidP="00D92716">
      <w:pPr>
        <w:spacing w:line="240" w:lineRule="auto"/>
        <w:rPr>
          <w:rFonts w:asciiTheme="minorHAnsi" w:hAnsiTheme="minorHAnsi" w:cstheme="minorHAnsi"/>
          <w:sz w:val="24"/>
          <w:szCs w:val="24"/>
        </w:rPr>
      </w:pPr>
      <w:r w:rsidRPr="0033707E">
        <w:rPr>
          <w:rFonts w:asciiTheme="minorHAnsi" w:hAnsiTheme="minorHAnsi" w:cstheme="minorHAnsi"/>
          <w:sz w:val="24"/>
          <w:szCs w:val="24"/>
        </w:rPr>
        <w:t xml:space="preserve">A short acknowledgement section can be written between the </w:t>
      </w:r>
      <w:bookmarkStart w:id="0" w:name="_GoBack"/>
      <w:bookmarkEnd w:id="0"/>
      <w:r w:rsidRPr="0033707E">
        <w:rPr>
          <w:rFonts w:asciiTheme="minorHAnsi" w:hAnsiTheme="minorHAnsi" w:cstheme="minorHAnsi"/>
          <w:sz w:val="24"/>
          <w:szCs w:val="24"/>
        </w:rPr>
        <w:t>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745469F1" w14:textId="77777777" w:rsidR="00B40BBE" w:rsidRPr="00571454" w:rsidRDefault="00B40BBE" w:rsidP="00D92716">
      <w:pPr>
        <w:pStyle w:val="3abstract"/>
      </w:pPr>
      <w:r w:rsidRPr="00571454">
        <w:t>References</w:t>
      </w:r>
    </w:p>
    <w:p w14:paraId="6571442D" w14:textId="77777777" w:rsidR="00B40BBE" w:rsidRPr="00571454" w:rsidRDefault="00B40BBE" w:rsidP="00571454">
      <w:pPr>
        <w:tabs>
          <w:tab w:val="clear" w:pos="3068"/>
        </w:tabs>
        <w:spacing w:line="240" w:lineRule="auto"/>
        <w:ind w:left="720" w:hanging="720"/>
        <w:rPr>
          <w:rFonts w:asciiTheme="minorHAnsi" w:hAnsiTheme="minorHAnsi" w:cstheme="minorHAnsi"/>
          <w:sz w:val="24"/>
          <w:szCs w:val="24"/>
        </w:rPr>
      </w:pPr>
      <w:r w:rsidRPr="00571454">
        <w:rPr>
          <w:rFonts w:asciiTheme="minorHAnsi" w:hAnsiTheme="minorHAnsi" w:cstheme="minorHAnsi"/>
          <w:sz w:val="24"/>
          <w:szCs w:val="24"/>
        </w:rPr>
        <w:t>Avery</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R. J.</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Bryant</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W. K.</w:t>
      </w:r>
      <w:r w:rsidR="00CC7D0E" w:rsidRPr="00571454">
        <w:rPr>
          <w:rFonts w:asciiTheme="minorHAnsi" w:hAnsiTheme="minorHAnsi" w:cstheme="minorHAnsi"/>
          <w:sz w:val="24"/>
          <w:szCs w:val="24"/>
        </w:rPr>
        <w:t xml:space="preserve">, </w:t>
      </w:r>
      <w:proofErr w:type="spellStart"/>
      <w:r w:rsidRPr="00571454">
        <w:rPr>
          <w:rFonts w:asciiTheme="minorHAnsi" w:hAnsiTheme="minorHAnsi" w:cstheme="minorHAnsi"/>
          <w:sz w:val="24"/>
          <w:szCs w:val="24"/>
        </w:rPr>
        <w:t>Mathios</w:t>
      </w:r>
      <w:proofErr w:type="spellEnd"/>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A.</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Kang</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H.</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&amp;</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Bell</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D.</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 xml:space="preserve">(2006). Electronic course evaluations: Does an online delivery system influence student </w:t>
      </w:r>
      <w:proofErr w:type="gramStart"/>
      <w:r w:rsidRPr="00571454">
        <w:rPr>
          <w:rFonts w:asciiTheme="minorHAnsi" w:hAnsiTheme="minorHAnsi" w:cstheme="minorHAnsi"/>
          <w:sz w:val="24"/>
          <w:szCs w:val="24"/>
        </w:rPr>
        <w:t>evaluations</w:t>
      </w:r>
      <w:proofErr w:type="gramEnd"/>
      <w:r w:rsidRPr="00571454">
        <w:rPr>
          <w:rFonts w:asciiTheme="minorHAnsi" w:hAnsiTheme="minorHAnsi" w:cstheme="minorHAnsi"/>
          <w:sz w:val="24"/>
          <w:szCs w:val="24"/>
        </w:rPr>
        <w:t>?</w:t>
      </w:r>
      <w:r w:rsidR="00955FD6"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The Journal of Economic Education</w:t>
      </w:r>
      <w:r w:rsidR="00CC7D0E" w:rsidRPr="00571454">
        <w:rPr>
          <w:rFonts w:asciiTheme="minorHAnsi" w:hAnsiTheme="minorHAnsi" w:cstheme="minorHAnsi"/>
          <w:sz w:val="24"/>
          <w:szCs w:val="24"/>
        </w:rPr>
        <w:t>,</w:t>
      </w:r>
      <w:r w:rsidR="00CC7D0E" w:rsidRPr="00571454">
        <w:rPr>
          <w:rFonts w:asciiTheme="minorHAnsi" w:hAnsiTheme="minorHAnsi" w:cstheme="minorHAnsi"/>
          <w:i/>
          <w:sz w:val="24"/>
          <w:szCs w:val="24"/>
        </w:rPr>
        <w:t xml:space="preserve"> </w:t>
      </w:r>
      <w:r w:rsidR="00CC7D0E" w:rsidRPr="00571454">
        <w:rPr>
          <w:rFonts w:asciiTheme="minorHAnsi" w:hAnsiTheme="minorHAnsi" w:cstheme="minorHAnsi"/>
          <w:i/>
          <w:iCs/>
          <w:sz w:val="24"/>
          <w:szCs w:val="24"/>
        </w:rPr>
        <w:t>3</w:t>
      </w:r>
      <w:r w:rsidRPr="00571454">
        <w:rPr>
          <w:rFonts w:asciiTheme="minorHAnsi" w:hAnsiTheme="minorHAnsi" w:cstheme="minorHAnsi"/>
          <w:i/>
          <w:iCs/>
          <w:sz w:val="24"/>
          <w:szCs w:val="24"/>
        </w:rPr>
        <w:t>7</w:t>
      </w:r>
      <w:r w:rsidR="00C81D35" w:rsidRPr="00571454">
        <w:rPr>
          <w:rFonts w:asciiTheme="minorHAnsi" w:hAnsiTheme="minorHAnsi" w:cstheme="minorHAnsi"/>
          <w:iCs/>
          <w:sz w:val="24"/>
          <w:szCs w:val="24"/>
        </w:rPr>
        <w:t>(1)</w:t>
      </w:r>
      <w:r w:rsidR="00CC7D0E" w:rsidRPr="00571454">
        <w:rPr>
          <w:rFonts w:asciiTheme="minorHAnsi" w:hAnsiTheme="minorHAnsi" w:cstheme="minorHAnsi"/>
          <w:sz w:val="24"/>
          <w:szCs w:val="24"/>
        </w:rPr>
        <w:t>, 2</w:t>
      </w:r>
      <w:r w:rsidRPr="00571454">
        <w:rPr>
          <w:rFonts w:asciiTheme="minorHAnsi" w:hAnsiTheme="minorHAnsi" w:cstheme="minorHAnsi"/>
          <w:sz w:val="24"/>
          <w:szCs w:val="24"/>
        </w:rPr>
        <w:t>1–37.</w:t>
      </w:r>
      <w:r w:rsidR="006274E0" w:rsidRPr="00571454">
        <w:rPr>
          <w:rFonts w:asciiTheme="minorHAnsi" w:hAnsiTheme="minorHAnsi" w:cstheme="minorHAnsi"/>
          <w:sz w:val="24"/>
          <w:szCs w:val="24"/>
        </w:rPr>
        <w:t xml:space="preserve"> </w:t>
      </w:r>
      <w:hyperlink r:id="rId8" w:history="1">
        <w:r w:rsidR="00B8771A" w:rsidRPr="00571454">
          <w:rPr>
            <w:rStyle w:val="a5"/>
            <w:rFonts w:asciiTheme="minorHAnsi" w:hAnsiTheme="minorHAnsi" w:cstheme="minorHAnsi"/>
            <w:sz w:val="24"/>
            <w:szCs w:val="24"/>
          </w:rPr>
          <w:t>https://doi.org/10.3200/JECE.37.1.21-37</w:t>
        </w:r>
      </w:hyperlink>
    </w:p>
    <w:p w14:paraId="4551557A" w14:textId="77777777" w:rsidR="00B40BBE" w:rsidRPr="00571454" w:rsidRDefault="00B40BBE" w:rsidP="00571454">
      <w:pPr>
        <w:tabs>
          <w:tab w:val="clear" w:pos="3068"/>
        </w:tabs>
        <w:spacing w:line="240" w:lineRule="auto"/>
        <w:ind w:left="720" w:hanging="720"/>
        <w:rPr>
          <w:rFonts w:asciiTheme="minorHAnsi" w:hAnsiTheme="minorHAnsi" w:cstheme="minorHAnsi"/>
          <w:sz w:val="24"/>
          <w:szCs w:val="24"/>
        </w:rPr>
      </w:pPr>
      <w:r w:rsidRPr="00571454">
        <w:rPr>
          <w:rFonts w:asciiTheme="minorHAnsi" w:hAnsiTheme="minorHAnsi" w:cstheme="minorHAnsi"/>
          <w:sz w:val="24"/>
          <w:szCs w:val="24"/>
        </w:rPr>
        <w:t>Berk</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R. A.</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(2012). Top 20 strategies to increase the online response rates of student rating scales.</w:t>
      </w:r>
      <w:r w:rsidR="006274E0"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International Journal of Technology in Teaching and Learning</w:t>
      </w:r>
      <w:r w:rsidR="00CC7D0E" w:rsidRPr="00571454">
        <w:rPr>
          <w:rFonts w:asciiTheme="minorHAnsi" w:hAnsiTheme="minorHAnsi" w:cstheme="minorHAnsi"/>
          <w:sz w:val="24"/>
          <w:szCs w:val="24"/>
        </w:rPr>
        <w:t xml:space="preserve">, </w:t>
      </w:r>
      <w:r w:rsidR="00CC7D0E" w:rsidRPr="00571454">
        <w:rPr>
          <w:rFonts w:asciiTheme="minorHAnsi" w:hAnsiTheme="minorHAnsi" w:cstheme="minorHAnsi"/>
          <w:i/>
          <w:iCs/>
          <w:sz w:val="24"/>
          <w:szCs w:val="24"/>
        </w:rPr>
        <w:t>8</w:t>
      </w:r>
      <w:r w:rsidR="00C81D35" w:rsidRPr="00571454">
        <w:rPr>
          <w:rFonts w:asciiTheme="minorHAnsi" w:hAnsiTheme="minorHAnsi" w:cstheme="minorHAnsi"/>
          <w:iCs/>
          <w:sz w:val="24"/>
          <w:szCs w:val="24"/>
        </w:rPr>
        <w:t>(2)</w:t>
      </w:r>
      <w:r w:rsidR="00CC7D0E" w:rsidRPr="00571454">
        <w:rPr>
          <w:rFonts w:asciiTheme="minorHAnsi" w:hAnsiTheme="minorHAnsi" w:cstheme="minorHAnsi"/>
          <w:sz w:val="24"/>
          <w:szCs w:val="24"/>
        </w:rPr>
        <w:t>, 9</w:t>
      </w:r>
      <w:r w:rsidRPr="00571454">
        <w:rPr>
          <w:rFonts w:asciiTheme="minorHAnsi" w:hAnsiTheme="minorHAnsi" w:cstheme="minorHAnsi"/>
          <w:sz w:val="24"/>
          <w:szCs w:val="24"/>
        </w:rPr>
        <w:t>8–107.</w:t>
      </w:r>
    </w:p>
    <w:p w14:paraId="5C490F12" w14:textId="77777777" w:rsidR="00B40BBE" w:rsidRPr="00571454" w:rsidRDefault="00B40BBE" w:rsidP="00571454">
      <w:pPr>
        <w:tabs>
          <w:tab w:val="clear" w:pos="3068"/>
        </w:tabs>
        <w:spacing w:line="240" w:lineRule="auto"/>
        <w:ind w:left="720" w:hanging="720"/>
        <w:rPr>
          <w:rFonts w:asciiTheme="minorHAnsi" w:hAnsiTheme="minorHAnsi" w:cstheme="minorHAnsi"/>
          <w:sz w:val="24"/>
          <w:szCs w:val="24"/>
        </w:rPr>
      </w:pPr>
      <w:r w:rsidRPr="00571454">
        <w:rPr>
          <w:rFonts w:asciiTheme="minorHAnsi" w:hAnsiTheme="minorHAnsi" w:cstheme="minorHAnsi"/>
          <w:sz w:val="24"/>
          <w:szCs w:val="24"/>
        </w:rPr>
        <w:t>Berk</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R. A.</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(2013).</w:t>
      </w:r>
      <w:r w:rsidR="006274E0"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Top 10 flashpoints in student ratings and the evaluation of teaching</w:t>
      </w:r>
      <w:r w:rsidRPr="00571454">
        <w:rPr>
          <w:rFonts w:asciiTheme="minorHAnsi" w:hAnsiTheme="minorHAnsi" w:cstheme="minorHAnsi"/>
          <w:sz w:val="24"/>
          <w:szCs w:val="24"/>
        </w:rPr>
        <w:t>. Stylus.</w:t>
      </w:r>
    </w:p>
    <w:p w14:paraId="79D41900" w14:textId="77777777" w:rsidR="00B8771A" w:rsidRPr="00571454" w:rsidRDefault="00B8771A" w:rsidP="00571454">
      <w:pPr>
        <w:tabs>
          <w:tab w:val="clear" w:pos="3068"/>
        </w:tabs>
        <w:spacing w:line="240" w:lineRule="auto"/>
        <w:ind w:left="720" w:hanging="720"/>
        <w:rPr>
          <w:rFonts w:asciiTheme="minorHAnsi" w:hAnsiTheme="minorHAnsi" w:cstheme="minorHAnsi"/>
          <w:sz w:val="24"/>
          <w:szCs w:val="24"/>
        </w:rPr>
      </w:pPr>
      <w:r w:rsidRPr="00571454">
        <w:rPr>
          <w:rFonts w:asciiTheme="minorHAnsi" w:hAnsiTheme="minorHAnsi" w:cstheme="minorHAnsi"/>
          <w:sz w:val="24"/>
          <w:szCs w:val="24"/>
        </w:rPr>
        <w:t>Boysen, G. A.</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(2015</w:t>
      </w:r>
      <w:r w:rsidR="00643113" w:rsidRPr="00571454">
        <w:rPr>
          <w:rFonts w:asciiTheme="minorHAnsi" w:hAnsiTheme="minorHAnsi" w:cstheme="minorHAnsi"/>
          <w:sz w:val="24"/>
          <w:szCs w:val="24"/>
        </w:rPr>
        <w:t>a</w:t>
      </w:r>
      <w:r w:rsidRPr="00571454">
        <w:rPr>
          <w:rFonts w:asciiTheme="minorHAnsi" w:hAnsiTheme="minorHAnsi" w:cstheme="minorHAnsi"/>
          <w:sz w:val="24"/>
          <w:szCs w:val="24"/>
        </w:rPr>
        <w:t>). Preventing the overinterpretation of small mean differences in student evaluations of teaching: An evaluation of warning effectiveness.</w:t>
      </w:r>
      <w:r w:rsidR="006274E0"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Scholarship of Teaching and Learning in Psychology</w:t>
      </w:r>
      <w:r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1</w:t>
      </w:r>
      <w:r w:rsidRPr="00571454">
        <w:rPr>
          <w:rFonts w:asciiTheme="minorHAnsi" w:hAnsiTheme="minorHAnsi" w:cstheme="minorHAnsi"/>
          <w:iCs/>
          <w:sz w:val="24"/>
          <w:szCs w:val="24"/>
        </w:rPr>
        <w:t>(4)</w:t>
      </w:r>
      <w:r w:rsidRPr="00571454">
        <w:rPr>
          <w:rFonts w:asciiTheme="minorHAnsi" w:hAnsiTheme="minorHAnsi" w:cstheme="minorHAnsi"/>
          <w:sz w:val="24"/>
          <w:szCs w:val="24"/>
        </w:rPr>
        <w:t>, 269–282</w:t>
      </w:r>
      <w:r w:rsidR="00EB6B08" w:rsidRPr="00571454">
        <w:rPr>
          <w:rFonts w:asciiTheme="minorHAnsi" w:hAnsiTheme="minorHAnsi" w:cstheme="minorHAnsi"/>
          <w:sz w:val="24"/>
          <w:szCs w:val="24"/>
        </w:rPr>
        <w:t>.</w:t>
      </w:r>
      <w:r w:rsidR="00EB6B08" w:rsidRPr="00571454">
        <w:rPr>
          <w:rStyle w:val="a5"/>
          <w:rFonts w:asciiTheme="minorHAnsi" w:hAnsiTheme="minorHAnsi" w:cstheme="minorHAnsi"/>
          <w:color w:val="auto"/>
          <w:sz w:val="24"/>
          <w:szCs w:val="24"/>
        </w:rPr>
        <w:t xml:space="preserve"> </w:t>
      </w:r>
      <w:hyperlink r:id="rId9" w:history="1">
        <w:r w:rsidR="00EB6B08" w:rsidRPr="00571454">
          <w:rPr>
            <w:rStyle w:val="a5"/>
            <w:rFonts w:asciiTheme="minorHAnsi" w:hAnsiTheme="minorHAnsi" w:cstheme="minorHAnsi"/>
            <w:sz w:val="24"/>
            <w:szCs w:val="24"/>
          </w:rPr>
          <w:t>https://doi.org/10.1037/stl0000042</w:t>
        </w:r>
      </w:hyperlink>
    </w:p>
    <w:p w14:paraId="58D011AE" w14:textId="77777777" w:rsidR="00EB6B08" w:rsidRPr="00571454" w:rsidRDefault="00B40BBE" w:rsidP="00571454">
      <w:pPr>
        <w:tabs>
          <w:tab w:val="clear" w:pos="3068"/>
        </w:tabs>
        <w:spacing w:line="240" w:lineRule="auto"/>
        <w:ind w:left="720" w:hanging="720"/>
        <w:rPr>
          <w:rFonts w:asciiTheme="minorHAnsi" w:hAnsiTheme="minorHAnsi" w:cstheme="minorHAnsi"/>
          <w:sz w:val="24"/>
          <w:szCs w:val="24"/>
          <w:lang w:val="en"/>
        </w:rPr>
      </w:pPr>
      <w:r w:rsidRPr="00571454">
        <w:rPr>
          <w:rFonts w:asciiTheme="minorHAnsi" w:hAnsiTheme="minorHAnsi" w:cstheme="minorHAnsi"/>
          <w:sz w:val="24"/>
          <w:szCs w:val="24"/>
        </w:rPr>
        <w:t>Boysen</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G. A.</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(2015</w:t>
      </w:r>
      <w:r w:rsidR="00643113" w:rsidRPr="00571454">
        <w:rPr>
          <w:rFonts w:asciiTheme="minorHAnsi" w:hAnsiTheme="minorHAnsi" w:cstheme="minorHAnsi"/>
          <w:sz w:val="24"/>
          <w:szCs w:val="24"/>
        </w:rPr>
        <w:t>b</w:t>
      </w:r>
      <w:r w:rsidRPr="00571454">
        <w:rPr>
          <w:rFonts w:asciiTheme="minorHAnsi" w:hAnsiTheme="minorHAnsi" w:cstheme="minorHAnsi"/>
          <w:sz w:val="24"/>
          <w:szCs w:val="24"/>
        </w:rPr>
        <w:t>). Significant interpretation of small mean differences in student evaluations of teaching despite explicit warning to avoid overinterpretation.</w:t>
      </w:r>
      <w:r w:rsidR="006274E0"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Scholarship of Teaching and Learning in Psychology</w:t>
      </w:r>
      <w:r w:rsidR="00CC7D0E" w:rsidRPr="00571454">
        <w:rPr>
          <w:rFonts w:asciiTheme="minorHAnsi" w:hAnsiTheme="minorHAnsi" w:cstheme="minorHAnsi"/>
          <w:sz w:val="24"/>
          <w:szCs w:val="24"/>
        </w:rPr>
        <w:t xml:space="preserve">, </w:t>
      </w:r>
      <w:r w:rsidR="00CC7D0E" w:rsidRPr="00571454">
        <w:rPr>
          <w:rFonts w:asciiTheme="minorHAnsi" w:hAnsiTheme="minorHAnsi" w:cstheme="minorHAnsi"/>
          <w:i/>
          <w:iCs/>
          <w:sz w:val="24"/>
          <w:szCs w:val="24"/>
        </w:rPr>
        <w:t>1</w:t>
      </w:r>
      <w:r w:rsidR="00C81D35" w:rsidRPr="00571454">
        <w:rPr>
          <w:rFonts w:asciiTheme="minorHAnsi" w:hAnsiTheme="minorHAnsi" w:cstheme="minorHAnsi"/>
          <w:iCs/>
          <w:sz w:val="24"/>
          <w:szCs w:val="24"/>
        </w:rPr>
        <w:t>(2)</w:t>
      </w:r>
      <w:r w:rsidR="00CC7D0E" w:rsidRPr="00571454">
        <w:rPr>
          <w:rFonts w:asciiTheme="minorHAnsi" w:hAnsiTheme="minorHAnsi" w:cstheme="minorHAnsi"/>
          <w:sz w:val="24"/>
          <w:szCs w:val="24"/>
        </w:rPr>
        <w:t>, 1</w:t>
      </w:r>
      <w:r w:rsidRPr="00571454">
        <w:rPr>
          <w:rFonts w:asciiTheme="minorHAnsi" w:hAnsiTheme="minorHAnsi" w:cstheme="minorHAnsi"/>
          <w:sz w:val="24"/>
          <w:szCs w:val="24"/>
        </w:rPr>
        <w:t>50–</w:t>
      </w:r>
      <w:r w:rsidR="00486B99" w:rsidRPr="00571454">
        <w:rPr>
          <w:rFonts w:asciiTheme="minorHAnsi" w:hAnsiTheme="minorHAnsi" w:cstheme="minorHAnsi"/>
          <w:sz w:val="24"/>
          <w:szCs w:val="24"/>
        </w:rPr>
        <w:t xml:space="preserve">162. </w:t>
      </w:r>
      <w:hyperlink r:id="rId10" w:history="1">
        <w:r w:rsidR="00EB6B08" w:rsidRPr="00571454">
          <w:rPr>
            <w:rStyle w:val="a5"/>
            <w:rFonts w:asciiTheme="minorHAnsi" w:hAnsiTheme="minorHAnsi" w:cstheme="minorHAnsi"/>
            <w:sz w:val="24"/>
            <w:szCs w:val="24"/>
            <w:lang w:val="en"/>
          </w:rPr>
          <w:t>https://doi.org/10.1037/stl0000017</w:t>
        </w:r>
      </w:hyperlink>
    </w:p>
    <w:p w14:paraId="414323A4" w14:textId="77777777" w:rsidR="00B40BBE" w:rsidRPr="00571454" w:rsidRDefault="00B40BBE" w:rsidP="00571454">
      <w:pPr>
        <w:tabs>
          <w:tab w:val="clear" w:pos="3068"/>
        </w:tabs>
        <w:spacing w:line="240" w:lineRule="auto"/>
        <w:ind w:left="720" w:hanging="720"/>
        <w:rPr>
          <w:rFonts w:asciiTheme="minorHAnsi" w:hAnsiTheme="minorHAnsi" w:cstheme="minorHAnsi"/>
          <w:sz w:val="24"/>
          <w:szCs w:val="24"/>
        </w:rPr>
      </w:pPr>
      <w:r w:rsidRPr="00571454">
        <w:rPr>
          <w:rFonts w:asciiTheme="minorHAnsi" w:hAnsiTheme="minorHAnsi" w:cstheme="minorHAnsi"/>
          <w:sz w:val="24"/>
          <w:szCs w:val="24"/>
        </w:rPr>
        <w:t>Boysen</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G. A.</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Kelly</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T. J.</w:t>
      </w:r>
      <w:r w:rsidR="00CC7D0E" w:rsidRPr="00571454">
        <w:rPr>
          <w:rFonts w:asciiTheme="minorHAnsi" w:hAnsiTheme="minorHAnsi" w:cstheme="minorHAnsi"/>
          <w:sz w:val="24"/>
          <w:szCs w:val="24"/>
        </w:rPr>
        <w:t xml:space="preserve">, </w:t>
      </w:r>
      <w:proofErr w:type="spellStart"/>
      <w:r w:rsidRPr="00571454">
        <w:rPr>
          <w:rFonts w:asciiTheme="minorHAnsi" w:hAnsiTheme="minorHAnsi" w:cstheme="minorHAnsi"/>
          <w:sz w:val="24"/>
          <w:szCs w:val="24"/>
        </w:rPr>
        <w:t>Raesly</w:t>
      </w:r>
      <w:proofErr w:type="spellEnd"/>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H. N.</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&amp;</w:t>
      </w:r>
      <w:r w:rsidR="006274E0" w:rsidRPr="00571454">
        <w:rPr>
          <w:rFonts w:asciiTheme="minorHAnsi" w:hAnsiTheme="minorHAnsi" w:cstheme="minorHAnsi"/>
          <w:sz w:val="24"/>
          <w:szCs w:val="24"/>
        </w:rPr>
        <w:t xml:space="preserve"> </w:t>
      </w:r>
      <w:proofErr w:type="spellStart"/>
      <w:r w:rsidRPr="00571454">
        <w:rPr>
          <w:rFonts w:asciiTheme="minorHAnsi" w:hAnsiTheme="minorHAnsi" w:cstheme="minorHAnsi"/>
          <w:sz w:val="24"/>
          <w:szCs w:val="24"/>
        </w:rPr>
        <w:t>Casner</w:t>
      </w:r>
      <w:proofErr w:type="spellEnd"/>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R. W.</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(2014). The (mis)interpretation of teaching evaluations by college faculty and administrators.</w:t>
      </w:r>
      <w:r w:rsidR="006274E0"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Assessment &amp; Evaluation in Higher Education</w:t>
      </w:r>
      <w:r w:rsidR="00CC7D0E"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39</w:t>
      </w:r>
      <w:r w:rsidR="00C81D35" w:rsidRPr="00571454">
        <w:rPr>
          <w:rFonts w:asciiTheme="minorHAnsi" w:hAnsiTheme="minorHAnsi" w:cstheme="minorHAnsi"/>
          <w:iCs/>
          <w:sz w:val="24"/>
          <w:szCs w:val="24"/>
        </w:rPr>
        <w:t>(6)</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641–656.</w:t>
      </w:r>
      <w:r w:rsidR="006274E0" w:rsidRPr="00571454">
        <w:rPr>
          <w:rFonts w:asciiTheme="minorHAnsi" w:hAnsiTheme="minorHAnsi" w:cstheme="minorHAnsi"/>
          <w:sz w:val="24"/>
          <w:szCs w:val="24"/>
        </w:rPr>
        <w:t xml:space="preserve"> </w:t>
      </w:r>
      <w:hyperlink r:id="rId11" w:history="1">
        <w:r w:rsidR="00EB6B08" w:rsidRPr="00571454">
          <w:rPr>
            <w:rStyle w:val="a5"/>
            <w:rFonts w:asciiTheme="minorHAnsi" w:hAnsiTheme="minorHAnsi" w:cstheme="minorHAnsi"/>
            <w:sz w:val="24"/>
            <w:szCs w:val="24"/>
          </w:rPr>
          <w:t>https://doi.org/10.1080/02602938.2013.860950</w:t>
        </w:r>
      </w:hyperlink>
    </w:p>
    <w:p w14:paraId="47BB25D7" w14:textId="77777777" w:rsidR="00EB6B08" w:rsidRPr="00571454" w:rsidRDefault="00B40BBE" w:rsidP="00571454">
      <w:pPr>
        <w:tabs>
          <w:tab w:val="clear" w:pos="3068"/>
        </w:tabs>
        <w:spacing w:line="240" w:lineRule="auto"/>
        <w:ind w:left="720" w:hanging="720"/>
        <w:rPr>
          <w:rFonts w:asciiTheme="minorHAnsi" w:hAnsiTheme="minorHAnsi" w:cstheme="minorHAnsi"/>
          <w:sz w:val="24"/>
          <w:szCs w:val="24"/>
        </w:rPr>
      </w:pPr>
      <w:r w:rsidRPr="00571454">
        <w:rPr>
          <w:rFonts w:asciiTheme="minorHAnsi" w:hAnsiTheme="minorHAnsi" w:cstheme="minorHAnsi"/>
          <w:sz w:val="24"/>
          <w:szCs w:val="24"/>
        </w:rPr>
        <w:lastRenderedPageBreak/>
        <w:t>Buller</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J. L.</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(2012).</w:t>
      </w:r>
      <w:r w:rsidR="006274E0"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Best practices in faculty evaluation: A practical guide for academic leaders</w:t>
      </w:r>
      <w:r w:rsidRPr="00571454">
        <w:rPr>
          <w:rFonts w:asciiTheme="minorHAnsi" w:hAnsiTheme="minorHAnsi" w:cstheme="minorHAnsi"/>
          <w:sz w:val="24"/>
          <w:szCs w:val="24"/>
        </w:rPr>
        <w:t>. Jossey-Bass.</w:t>
      </w:r>
    </w:p>
    <w:p w14:paraId="71A78C15" w14:textId="77777777" w:rsidR="00B40BBE" w:rsidRPr="00571454" w:rsidRDefault="00B40BBE" w:rsidP="00571454">
      <w:pPr>
        <w:tabs>
          <w:tab w:val="clear" w:pos="3068"/>
        </w:tabs>
        <w:spacing w:line="240" w:lineRule="auto"/>
        <w:ind w:left="720" w:hanging="720"/>
        <w:rPr>
          <w:rFonts w:asciiTheme="minorHAnsi" w:hAnsiTheme="minorHAnsi" w:cstheme="minorHAnsi"/>
          <w:sz w:val="24"/>
          <w:szCs w:val="24"/>
        </w:rPr>
      </w:pPr>
      <w:r w:rsidRPr="00571454">
        <w:rPr>
          <w:rFonts w:asciiTheme="minorHAnsi" w:hAnsiTheme="minorHAnsi" w:cstheme="minorHAnsi"/>
          <w:sz w:val="24"/>
          <w:szCs w:val="24"/>
        </w:rPr>
        <w:t>Dewar</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J. M.</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(2011). Helping stakeholders understand the limitations of SRT data: Are we doing enough?</w:t>
      </w:r>
      <w:r w:rsidR="00DE1469"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Journal of Faculty Development</w:t>
      </w:r>
      <w:r w:rsidR="00CC7D0E"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25</w:t>
      </w:r>
      <w:r w:rsidR="00C81D35" w:rsidRPr="00571454">
        <w:rPr>
          <w:rFonts w:asciiTheme="minorHAnsi" w:hAnsiTheme="minorHAnsi" w:cstheme="minorHAnsi"/>
          <w:iCs/>
          <w:sz w:val="24"/>
          <w:szCs w:val="24"/>
        </w:rPr>
        <w:t>(3)</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40–44.</w:t>
      </w:r>
    </w:p>
    <w:p w14:paraId="43B5FFCF" w14:textId="77777777" w:rsidR="001D7F11" w:rsidRPr="00571454" w:rsidRDefault="001D7F11" w:rsidP="00571454">
      <w:pPr>
        <w:tabs>
          <w:tab w:val="clear" w:pos="3068"/>
        </w:tabs>
        <w:spacing w:line="240" w:lineRule="auto"/>
        <w:ind w:left="720" w:hanging="720"/>
        <w:rPr>
          <w:rFonts w:asciiTheme="minorHAnsi" w:hAnsiTheme="minorHAnsi" w:cstheme="minorHAnsi"/>
          <w:sz w:val="24"/>
          <w:szCs w:val="24"/>
        </w:rPr>
      </w:pPr>
      <w:proofErr w:type="spellStart"/>
      <w:r w:rsidRPr="00571454">
        <w:rPr>
          <w:rFonts w:asciiTheme="minorHAnsi" w:hAnsiTheme="minorHAnsi" w:cstheme="minorHAnsi"/>
          <w:sz w:val="24"/>
          <w:szCs w:val="24"/>
        </w:rPr>
        <w:t>Dommeyer</w:t>
      </w:r>
      <w:proofErr w:type="spellEnd"/>
      <w:r w:rsidRPr="00571454">
        <w:rPr>
          <w:rFonts w:asciiTheme="minorHAnsi" w:hAnsiTheme="minorHAnsi" w:cstheme="minorHAnsi"/>
          <w:sz w:val="24"/>
          <w:szCs w:val="24"/>
        </w:rPr>
        <w:t xml:space="preserve">, C. J., Baum, P., &amp; Hanna, R. W. (2002). College students’ attitudes toward methods of collecting teaching evaluations: In-class versus on-line. </w:t>
      </w:r>
      <w:r w:rsidRPr="00571454">
        <w:rPr>
          <w:rFonts w:asciiTheme="minorHAnsi" w:hAnsiTheme="minorHAnsi" w:cstheme="minorHAnsi"/>
          <w:i/>
          <w:iCs/>
          <w:sz w:val="24"/>
          <w:szCs w:val="24"/>
        </w:rPr>
        <w:t>Journal of Education for Business</w:t>
      </w:r>
      <w:r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78</w:t>
      </w:r>
      <w:r w:rsidRPr="00571454">
        <w:rPr>
          <w:rFonts w:asciiTheme="minorHAnsi" w:hAnsiTheme="minorHAnsi" w:cstheme="minorHAnsi"/>
          <w:iCs/>
          <w:sz w:val="24"/>
          <w:szCs w:val="24"/>
        </w:rPr>
        <w:t>(1)</w:t>
      </w:r>
      <w:r w:rsidRPr="00571454">
        <w:rPr>
          <w:rFonts w:asciiTheme="minorHAnsi" w:hAnsiTheme="minorHAnsi" w:cstheme="minorHAnsi"/>
          <w:sz w:val="24"/>
          <w:szCs w:val="24"/>
        </w:rPr>
        <w:t xml:space="preserve">, 11–15. </w:t>
      </w:r>
      <w:hyperlink r:id="rId12" w:history="1">
        <w:r w:rsidRPr="00571454">
          <w:rPr>
            <w:rStyle w:val="a5"/>
            <w:rFonts w:asciiTheme="minorHAnsi" w:hAnsiTheme="minorHAnsi" w:cstheme="minorHAnsi"/>
            <w:sz w:val="24"/>
            <w:szCs w:val="24"/>
          </w:rPr>
          <w:t>https://doi.org/10.1080/08832320209599691</w:t>
        </w:r>
      </w:hyperlink>
    </w:p>
    <w:p w14:paraId="38237D8B" w14:textId="77777777" w:rsidR="00B40BBE" w:rsidRPr="00571454" w:rsidRDefault="00B40BBE" w:rsidP="00571454">
      <w:pPr>
        <w:tabs>
          <w:tab w:val="clear" w:pos="3068"/>
        </w:tabs>
        <w:spacing w:line="240" w:lineRule="auto"/>
        <w:ind w:left="720" w:hanging="720"/>
        <w:rPr>
          <w:rFonts w:asciiTheme="minorHAnsi" w:hAnsiTheme="minorHAnsi" w:cstheme="minorHAnsi"/>
          <w:sz w:val="24"/>
          <w:szCs w:val="24"/>
        </w:rPr>
      </w:pPr>
      <w:proofErr w:type="spellStart"/>
      <w:r w:rsidRPr="00571454">
        <w:rPr>
          <w:rFonts w:asciiTheme="minorHAnsi" w:hAnsiTheme="minorHAnsi" w:cstheme="minorHAnsi"/>
          <w:sz w:val="24"/>
          <w:szCs w:val="24"/>
        </w:rPr>
        <w:t>Dommeyer</w:t>
      </w:r>
      <w:proofErr w:type="spellEnd"/>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C. J.</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Baum</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P.</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Hanna</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R. W.</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&amp;</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Chapman</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K. S.</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(2004). Gathering faculty teaching evaluations by in-class and online surveys: Their effects on response rates and evaluations.</w:t>
      </w:r>
      <w:r w:rsidR="006274E0"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Assessment &amp; Evaluation in Higher Education</w:t>
      </w:r>
      <w:r w:rsidR="00CC7D0E"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29</w:t>
      </w:r>
      <w:r w:rsidR="00C81D35" w:rsidRPr="00571454">
        <w:rPr>
          <w:rFonts w:asciiTheme="minorHAnsi" w:hAnsiTheme="minorHAnsi" w:cstheme="minorHAnsi"/>
          <w:iCs/>
          <w:sz w:val="24"/>
          <w:szCs w:val="24"/>
        </w:rPr>
        <w:t>(5)</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611–</w:t>
      </w:r>
      <w:r w:rsidR="00486B99" w:rsidRPr="00571454">
        <w:rPr>
          <w:rFonts w:asciiTheme="minorHAnsi" w:hAnsiTheme="minorHAnsi" w:cstheme="minorHAnsi"/>
          <w:sz w:val="24"/>
          <w:szCs w:val="24"/>
        </w:rPr>
        <w:t xml:space="preserve">623. </w:t>
      </w:r>
      <w:hyperlink r:id="rId13" w:history="1">
        <w:r w:rsidR="00DD132E" w:rsidRPr="00571454">
          <w:rPr>
            <w:rStyle w:val="a5"/>
            <w:rFonts w:asciiTheme="minorHAnsi" w:hAnsiTheme="minorHAnsi" w:cstheme="minorHAnsi"/>
            <w:sz w:val="24"/>
            <w:szCs w:val="24"/>
          </w:rPr>
          <w:t>https://doi.org/10.1080/02602930410001689171</w:t>
        </w:r>
      </w:hyperlink>
    </w:p>
    <w:p w14:paraId="44941310" w14:textId="77777777" w:rsidR="00B40BBE" w:rsidRPr="00571454" w:rsidRDefault="00B40BBE" w:rsidP="00571454">
      <w:pPr>
        <w:tabs>
          <w:tab w:val="clear" w:pos="3068"/>
        </w:tabs>
        <w:spacing w:line="240" w:lineRule="auto"/>
        <w:ind w:left="720" w:hanging="720"/>
        <w:rPr>
          <w:rFonts w:asciiTheme="minorHAnsi" w:hAnsiTheme="minorHAnsi" w:cstheme="minorHAnsi"/>
          <w:sz w:val="24"/>
          <w:szCs w:val="24"/>
        </w:rPr>
      </w:pPr>
      <w:proofErr w:type="spellStart"/>
      <w:r w:rsidRPr="00571454">
        <w:rPr>
          <w:rFonts w:asciiTheme="minorHAnsi" w:hAnsiTheme="minorHAnsi" w:cstheme="minorHAnsi"/>
          <w:sz w:val="24"/>
          <w:szCs w:val="24"/>
        </w:rPr>
        <w:t>Feistauer</w:t>
      </w:r>
      <w:proofErr w:type="spellEnd"/>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D.</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&amp;</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Richter</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T.</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(2016). How reliable are students’ evaluations of teaching quality? A variance components approach.</w:t>
      </w:r>
      <w:r w:rsidR="006274E0"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Assessment &amp; Evaluation in Higher Education</w:t>
      </w:r>
      <w:r w:rsidR="00CC7D0E" w:rsidRPr="00571454">
        <w:rPr>
          <w:rFonts w:asciiTheme="minorHAnsi" w:hAnsiTheme="minorHAnsi" w:cstheme="minorHAnsi"/>
          <w:sz w:val="24"/>
          <w:szCs w:val="24"/>
        </w:rPr>
        <w:t xml:space="preserve">, </w:t>
      </w:r>
      <w:r w:rsidR="00C81D35" w:rsidRPr="00571454">
        <w:rPr>
          <w:rFonts w:asciiTheme="minorHAnsi" w:hAnsiTheme="minorHAnsi" w:cstheme="minorHAnsi"/>
          <w:i/>
          <w:iCs/>
          <w:sz w:val="24"/>
          <w:szCs w:val="24"/>
        </w:rPr>
        <w:t>42</w:t>
      </w:r>
      <w:r w:rsidR="00C81D35" w:rsidRPr="00571454">
        <w:rPr>
          <w:rFonts w:asciiTheme="minorHAnsi" w:hAnsiTheme="minorHAnsi" w:cstheme="minorHAnsi"/>
          <w:iCs/>
          <w:sz w:val="24"/>
          <w:szCs w:val="24"/>
        </w:rPr>
        <w:t>(8)</w:t>
      </w:r>
      <w:r w:rsidR="00CC7D0E" w:rsidRPr="00571454">
        <w:rPr>
          <w:rFonts w:asciiTheme="minorHAnsi" w:hAnsiTheme="minorHAnsi" w:cstheme="minorHAnsi"/>
          <w:iCs/>
          <w:sz w:val="24"/>
          <w:szCs w:val="24"/>
        </w:rPr>
        <w:t xml:space="preserve">, </w:t>
      </w:r>
      <w:r w:rsidR="00C81D35" w:rsidRPr="00571454">
        <w:rPr>
          <w:rFonts w:asciiTheme="minorHAnsi" w:hAnsiTheme="minorHAnsi" w:cstheme="minorHAnsi"/>
          <w:iCs/>
          <w:sz w:val="24"/>
          <w:szCs w:val="24"/>
        </w:rPr>
        <w:t>1263</w:t>
      </w:r>
      <w:r w:rsidR="00486B99" w:rsidRPr="00571454">
        <w:rPr>
          <w:rFonts w:asciiTheme="minorHAnsi" w:hAnsiTheme="minorHAnsi" w:cstheme="minorHAnsi"/>
          <w:sz w:val="24"/>
          <w:szCs w:val="24"/>
        </w:rPr>
        <w:t>–</w:t>
      </w:r>
      <w:r w:rsidR="00C81D35" w:rsidRPr="00571454">
        <w:rPr>
          <w:rFonts w:asciiTheme="minorHAnsi" w:hAnsiTheme="minorHAnsi" w:cstheme="minorHAnsi"/>
          <w:iCs/>
          <w:sz w:val="24"/>
          <w:szCs w:val="24"/>
        </w:rPr>
        <w:t>1279</w:t>
      </w:r>
      <w:r w:rsidRPr="00571454">
        <w:rPr>
          <w:rFonts w:asciiTheme="minorHAnsi" w:hAnsiTheme="minorHAnsi" w:cstheme="minorHAnsi"/>
          <w:sz w:val="24"/>
          <w:szCs w:val="24"/>
        </w:rPr>
        <w:t>.</w:t>
      </w:r>
      <w:r w:rsidR="006274E0" w:rsidRPr="00571454">
        <w:rPr>
          <w:rFonts w:asciiTheme="minorHAnsi" w:hAnsiTheme="minorHAnsi" w:cstheme="minorHAnsi"/>
          <w:sz w:val="24"/>
          <w:szCs w:val="24"/>
        </w:rPr>
        <w:t xml:space="preserve"> </w:t>
      </w:r>
      <w:hyperlink r:id="rId14" w:history="1">
        <w:r w:rsidR="00DD132E" w:rsidRPr="00571454">
          <w:rPr>
            <w:rStyle w:val="a5"/>
            <w:rFonts w:asciiTheme="minorHAnsi" w:hAnsiTheme="minorHAnsi" w:cstheme="minorHAnsi"/>
            <w:sz w:val="24"/>
            <w:szCs w:val="24"/>
          </w:rPr>
          <w:t>https://doi.org/10.1080/02602938.2016.1261083</w:t>
        </w:r>
      </w:hyperlink>
    </w:p>
    <w:p w14:paraId="7FAC3748" w14:textId="77777777" w:rsidR="00B40BBE" w:rsidRPr="00571454" w:rsidRDefault="00B40BBE" w:rsidP="00571454">
      <w:pPr>
        <w:tabs>
          <w:tab w:val="clear" w:pos="3068"/>
        </w:tabs>
        <w:spacing w:line="240" w:lineRule="auto"/>
        <w:ind w:left="720" w:hanging="720"/>
        <w:rPr>
          <w:rFonts w:asciiTheme="minorHAnsi" w:hAnsiTheme="minorHAnsi" w:cstheme="minorHAnsi"/>
          <w:sz w:val="24"/>
          <w:szCs w:val="24"/>
        </w:rPr>
      </w:pPr>
      <w:r w:rsidRPr="00571454">
        <w:rPr>
          <w:rFonts w:asciiTheme="minorHAnsi" w:hAnsiTheme="minorHAnsi" w:cstheme="minorHAnsi"/>
          <w:sz w:val="24"/>
          <w:szCs w:val="24"/>
        </w:rPr>
        <w:t>Gilovich</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T.</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Griffin</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D.</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&amp;</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Kahneman</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D.</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(Eds.). (2002).</w:t>
      </w:r>
      <w:r w:rsidR="006274E0"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Heuristics and biases: The psychology of intuitive judgment</w:t>
      </w:r>
      <w:r w:rsidRPr="00571454">
        <w:rPr>
          <w:rFonts w:asciiTheme="minorHAnsi" w:hAnsiTheme="minorHAnsi" w:cstheme="minorHAnsi"/>
          <w:sz w:val="24"/>
          <w:szCs w:val="24"/>
        </w:rPr>
        <w:t>. Cambridge University</w:t>
      </w:r>
      <w:r w:rsidR="006274E0" w:rsidRPr="00571454">
        <w:rPr>
          <w:rFonts w:asciiTheme="minorHAnsi" w:hAnsiTheme="minorHAnsi" w:cstheme="minorHAnsi"/>
          <w:sz w:val="24"/>
          <w:szCs w:val="24"/>
        </w:rPr>
        <w:t xml:space="preserve"> Press. </w:t>
      </w:r>
      <w:hyperlink r:id="rId15" w:history="1">
        <w:r w:rsidR="00DD132E" w:rsidRPr="00571454">
          <w:rPr>
            <w:rStyle w:val="a5"/>
            <w:rFonts w:asciiTheme="minorHAnsi" w:hAnsiTheme="minorHAnsi" w:cstheme="minorHAnsi"/>
            <w:sz w:val="24"/>
            <w:szCs w:val="24"/>
          </w:rPr>
          <w:t>https://doi.org/10.1017/CBO9780511808098</w:t>
        </w:r>
      </w:hyperlink>
    </w:p>
    <w:p w14:paraId="0CD1C9A2" w14:textId="77777777" w:rsidR="00B40BBE" w:rsidRPr="00571454" w:rsidRDefault="00B40BBE" w:rsidP="00571454">
      <w:pPr>
        <w:tabs>
          <w:tab w:val="clear" w:pos="3068"/>
        </w:tabs>
        <w:spacing w:line="240" w:lineRule="auto"/>
        <w:ind w:left="720" w:hanging="720"/>
        <w:rPr>
          <w:rFonts w:asciiTheme="minorHAnsi" w:hAnsiTheme="minorHAnsi" w:cstheme="minorHAnsi"/>
          <w:sz w:val="24"/>
          <w:szCs w:val="24"/>
        </w:rPr>
      </w:pPr>
      <w:r w:rsidRPr="00571454">
        <w:rPr>
          <w:rFonts w:asciiTheme="minorHAnsi" w:hAnsiTheme="minorHAnsi" w:cstheme="minorHAnsi"/>
          <w:sz w:val="24"/>
          <w:szCs w:val="24"/>
        </w:rPr>
        <w:t>Griffin</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T. J.</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Hilton</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J.</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III</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Plummer</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K.</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&amp;</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Barret</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D.</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(2014). Correlation between grade point averages and student evaluation of teaching scores: Taking a closer look.</w:t>
      </w:r>
      <w:r w:rsidR="006274E0"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Assessment &amp; Evaluation in Higher Education</w:t>
      </w:r>
      <w:r w:rsidR="00CC7D0E"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39</w:t>
      </w:r>
      <w:r w:rsidR="00C81D35" w:rsidRPr="00571454">
        <w:rPr>
          <w:rFonts w:asciiTheme="minorHAnsi" w:hAnsiTheme="minorHAnsi" w:cstheme="minorHAnsi"/>
          <w:iCs/>
          <w:sz w:val="24"/>
          <w:szCs w:val="24"/>
        </w:rPr>
        <w:t>(3)</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339–</w:t>
      </w:r>
      <w:r w:rsidR="00486B99" w:rsidRPr="00571454">
        <w:rPr>
          <w:rFonts w:asciiTheme="minorHAnsi" w:hAnsiTheme="minorHAnsi" w:cstheme="minorHAnsi"/>
          <w:sz w:val="24"/>
          <w:szCs w:val="24"/>
        </w:rPr>
        <w:t xml:space="preserve">348. </w:t>
      </w:r>
      <w:hyperlink r:id="rId16" w:history="1">
        <w:r w:rsidR="00DD132E" w:rsidRPr="00571454">
          <w:rPr>
            <w:rStyle w:val="a5"/>
            <w:rFonts w:asciiTheme="minorHAnsi" w:hAnsiTheme="minorHAnsi" w:cstheme="minorHAnsi"/>
            <w:sz w:val="24"/>
            <w:szCs w:val="24"/>
          </w:rPr>
          <w:t>https://doi.org/10.1080/02602938.2013.831809</w:t>
        </w:r>
      </w:hyperlink>
    </w:p>
    <w:p w14:paraId="673104B8" w14:textId="77777777" w:rsidR="00B40BBE" w:rsidRPr="00571454" w:rsidRDefault="00B40BBE" w:rsidP="00571454">
      <w:pPr>
        <w:tabs>
          <w:tab w:val="clear" w:pos="3068"/>
        </w:tabs>
        <w:spacing w:line="240" w:lineRule="auto"/>
        <w:ind w:left="720" w:hanging="720"/>
        <w:rPr>
          <w:rFonts w:asciiTheme="minorHAnsi" w:hAnsiTheme="minorHAnsi" w:cstheme="minorHAnsi"/>
          <w:sz w:val="24"/>
          <w:szCs w:val="24"/>
        </w:rPr>
      </w:pPr>
      <w:proofErr w:type="spellStart"/>
      <w:r w:rsidRPr="00571454">
        <w:rPr>
          <w:rFonts w:asciiTheme="minorHAnsi" w:hAnsiTheme="minorHAnsi" w:cstheme="minorHAnsi"/>
          <w:sz w:val="24"/>
          <w:szCs w:val="24"/>
        </w:rPr>
        <w:t>Jaquett</w:t>
      </w:r>
      <w:proofErr w:type="spellEnd"/>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C. M.</w:t>
      </w:r>
      <w:r w:rsidR="00CC7D0E" w:rsidRPr="00571454">
        <w:rPr>
          <w:rFonts w:asciiTheme="minorHAnsi" w:hAnsiTheme="minorHAnsi" w:cstheme="minorHAnsi"/>
          <w:sz w:val="24"/>
          <w:szCs w:val="24"/>
        </w:rPr>
        <w:t xml:space="preserve">, </w:t>
      </w:r>
      <w:proofErr w:type="spellStart"/>
      <w:r w:rsidRPr="00571454">
        <w:rPr>
          <w:rFonts w:asciiTheme="minorHAnsi" w:hAnsiTheme="minorHAnsi" w:cstheme="minorHAnsi"/>
          <w:sz w:val="24"/>
          <w:szCs w:val="24"/>
        </w:rPr>
        <w:t>VanMaaren</w:t>
      </w:r>
      <w:proofErr w:type="spellEnd"/>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V. G.</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&amp;</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Williams</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R. L.</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(2016). The effect of extra-credit incentives on student submission of end-of-course evaluations.</w:t>
      </w:r>
      <w:r w:rsidR="006274E0"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Scholarship of Teaching and Learning in Psychology</w:t>
      </w:r>
      <w:r w:rsidR="00CC7D0E"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2</w:t>
      </w:r>
      <w:r w:rsidR="00C81D35" w:rsidRPr="00571454">
        <w:rPr>
          <w:rFonts w:asciiTheme="minorHAnsi" w:hAnsiTheme="minorHAnsi" w:cstheme="minorHAnsi"/>
          <w:iCs/>
          <w:sz w:val="24"/>
          <w:szCs w:val="24"/>
        </w:rPr>
        <w:t>(1)</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49–61.</w:t>
      </w:r>
      <w:r w:rsidR="006274E0" w:rsidRPr="00571454">
        <w:rPr>
          <w:rFonts w:asciiTheme="minorHAnsi" w:hAnsiTheme="minorHAnsi" w:cstheme="minorHAnsi"/>
          <w:sz w:val="24"/>
          <w:szCs w:val="24"/>
        </w:rPr>
        <w:t xml:space="preserve"> </w:t>
      </w:r>
      <w:hyperlink r:id="rId17" w:history="1">
        <w:r w:rsidR="00DD132E" w:rsidRPr="00571454">
          <w:rPr>
            <w:rStyle w:val="a5"/>
            <w:rFonts w:asciiTheme="minorHAnsi" w:hAnsiTheme="minorHAnsi" w:cstheme="minorHAnsi"/>
            <w:sz w:val="24"/>
            <w:szCs w:val="24"/>
          </w:rPr>
          <w:t>https://doi.org/10.1037/stl0000052</w:t>
        </w:r>
      </w:hyperlink>
    </w:p>
    <w:p w14:paraId="5E8F01E0" w14:textId="77777777" w:rsidR="00B40BBE" w:rsidRPr="00571454" w:rsidRDefault="00B40BBE" w:rsidP="00571454">
      <w:pPr>
        <w:tabs>
          <w:tab w:val="clear" w:pos="3068"/>
        </w:tabs>
        <w:spacing w:line="240" w:lineRule="auto"/>
        <w:ind w:left="720" w:hanging="720"/>
        <w:rPr>
          <w:rFonts w:asciiTheme="minorHAnsi" w:hAnsiTheme="minorHAnsi" w:cstheme="minorHAnsi"/>
          <w:sz w:val="24"/>
          <w:szCs w:val="24"/>
        </w:rPr>
      </w:pPr>
      <w:proofErr w:type="spellStart"/>
      <w:r w:rsidRPr="00571454">
        <w:rPr>
          <w:rFonts w:asciiTheme="minorHAnsi" w:hAnsiTheme="minorHAnsi" w:cstheme="minorHAnsi"/>
          <w:sz w:val="24"/>
          <w:szCs w:val="24"/>
        </w:rPr>
        <w:t>Jaquett</w:t>
      </w:r>
      <w:proofErr w:type="spellEnd"/>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C. M.</w:t>
      </w:r>
      <w:r w:rsidR="00CC7D0E" w:rsidRPr="00571454">
        <w:rPr>
          <w:rFonts w:asciiTheme="minorHAnsi" w:hAnsiTheme="minorHAnsi" w:cstheme="minorHAnsi"/>
          <w:sz w:val="24"/>
          <w:szCs w:val="24"/>
        </w:rPr>
        <w:t xml:space="preserve">, </w:t>
      </w:r>
      <w:proofErr w:type="spellStart"/>
      <w:r w:rsidRPr="00571454">
        <w:rPr>
          <w:rFonts w:asciiTheme="minorHAnsi" w:hAnsiTheme="minorHAnsi" w:cstheme="minorHAnsi"/>
          <w:sz w:val="24"/>
          <w:szCs w:val="24"/>
        </w:rPr>
        <w:t>VanMaaren</w:t>
      </w:r>
      <w:proofErr w:type="spellEnd"/>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 xml:space="preserve">V. </w:t>
      </w:r>
      <w:r w:rsidR="00C044E2" w:rsidRPr="00571454">
        <w:rPr>
          <w:rFonts w:asciiTheme="minorHAnsi" w:hAnsiTheme="minorHAnsi" w:cstheme="minorHAnsi"/>
          <w:sz w:val="24"/>
          <w:szCs w:val="24"/>
        </w:rPr>
        <w:t>G</w:t>
      </w:r>
      <w:r w:rsidRPr="00571454">
        <w:rPr>
          <w:rFonts w:asciiTheme="minorHAnsi" w:hAnsiTheme="minorHAnsi" w:cstheme="minorHAnsi"/>
          <w:sz w:val="24"/>
          <w:szCs w:val="24"/>
        </w:rPr>
        <w:t>.</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&amp;</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Williams</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R. L.</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(2017). Course factors that motivate students to submit end-of-course evaluations.</w:t>
      </w:r>
      <w:r w:rsidR="006274E0"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Innovative Higher Education</w:t>
      </w:r>
      <w:r w:rsidR="00CC7D0E"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42</w:t>
      </w:r>
      <w:r w:rsidR="00C81D35" w:rsidRPr="00571454">
        <w:rPr>
          <w:rFonts w:asciiTheme="minorHAnsi" w:hAnsiTheme="minorHAnsi" w:cstheme="minorHAnsi"/>
          <w:iCs/>
          <w:sz w:val="24"/>
          <w:szCs w:val="24"/>
        </w:rPr>
        <w:t>(1)</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19–31.</w:t>
      </w:r>
      <w:r w:rsidR="006274E0" w:rsidRPr="00571454">
        <w:rPr>
          <w:rFonts w:asciiTheme="minorHAnsi" w:hAnsiTheme="minorHAnsi" w:cstheme="minorHAnsi"/>
          <w:sz w:val="24"/>
          <w:szCs w:val="24"/>
        </w:rPr>
        <w:t xml:space="preserve"> </w:t>
      </w:r>
      <w:hyperlink r:id="rId18" w:history="1">
        <w:r w:rsidR="00EC63D6" w:rsidRPr="00571454">
          <w:rPr>
            <w:rStyle w:val="a5"/>
            <w:rFonts w:asciiTheme="minorHAnsi" w:hAnsiTheme="minorHAnsi" w:cstheme="minorHAnsi"/>
            <w:sz w:val="24"/>
            <w:szCs w:val="24"/>
          </w:rPr>
          <w:t>https://doi.org/10.1007/s10755-016-9368-5</w:t>
        </w:r>
      </w:hyperlink>
    </w:p>
    <w:p w14:paraId="2F47D1F5" w14:textId="77777777" w:rsidR="00EC63D6" w:rsidRPr="00571454" w:rsidRDefault="00B40BBE" w:rsidP="00571454">
      <w:pPr>
        <w:tabs>
          <w:tab w:val="clear" w:pos="3068"/>
        </w:tabs>
        <w:spacing w:line="240" w:lineRule="auto"/>
        <w:ind w:left="720" w:hanging="720"/>
        <w:rPr>
          <w:rStyle w:val="a5"/>
          <w:rFonts w:asciiTheme="minorHAnsi" w:hAnsiTheme="minorHAnsi" w:cstheme="minorHAnsi"/>
          <w:color w:val="auto"/>
          <w:sz w:val="24"/>
          <w:szCs w:val="24"/>
        </w:rPr>
      </w:pPr>
      <w:r w:rsidRPr="00571454">
        <w:rPr>
          <w:rFonts w:asciiTheme="minorHAnsi" w:hAnsiTheme="minorHAnsi" w:cstheme="minorHAnsi"/>
          <w:sz w:val="24"/>
          <w:szCs w:val="24"/>
        </w:rPr>
        <w:t>Morrison</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R.</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(2011). A comparison of online versus traditional student end-of-course critiques in resident courses.</w:t>
      </w:r>
      <w:r w:rsidR="006274E0"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Assessment &amp; Evaluation in Higher Education</w:t>
      </w:r>
      <w:r w:rsidR="00CC7D0E" w:rsidRPr="00571454">
        <w:rPr>
          <w:rFonts w:asciiTheme="minorHAnsi" w:hAnsiTheme="minorHAnsi" w:cstheme="minorHAnsi"/>
          <w:sz w:val="24"/>
          <w:szCs w:val="24"/>
        </w:rPr>
        <w:t xml:space="preserve">, </w:t>
      </w:r>
      <w:r w:rsidRPr="00571454">
        <w:rPr>
          <w:rFonts w:asciiTheme="minorHAnsi" w:hAnsiTheme="minorHAnsi" w:cstheme="minorHAnsi"/>
          <w:i/>
          <w:iCs/>
          <w:sz w:val="24"/>
          <w:szCs w:val="24"/>
        </w:rPr>
        <w:t>36</w:t>
      </w:r>
      <w:r w:rsidR="00C81D35" w:rsidRPr="00571454">
        <w:rPr>
          <w:rFonts w:asciiTheme="minorHAnsi" w:hAnsiTheme="minorHAnsi" w:cstheme="minorHAnsi"/>
          <w:iCs/>
          <w:sz w:val="24"/>
          <w:szCs w:val="24"/>
        </w:rPr>
        <w:t>(6)</w:t>
      </w:r>
      <w:r w:rsidR="00CC7D0E" w:rsidRPr="00571454">
        <w:rPr>
          <w:rFonts w:asciiTheme="minorHAnsi" w:hAnsiTheme="minorHAnsi" w:cstheme="minorHAnsi"/>
          <w:sz w:val="24"/>
          <w:szCs w:val="24"/>
        </w:rPr>
        <w:t xml:space="preserve">, </w:t>
      </w:r>
      <w:r w:rsidRPr="00571454">
        <w:rPr>
          <w:rFonts w:asciiTheme="minorHAnsi" w:hAnsiTheme="minorHAnsi" w:cstheme="minorHAnsi"/>
          <w:sz w:val="24"/>
          <w:szCs w:val="24"/>
        </w:rPr>
        <w:t>627–</w:t>
      </w:r>
      <w:r w:rsidR="00486B99" w:rsidRPr="00571454">
        <w:rPr>
          <w:rFonts w:asciiTheme="minorHAnsi" w:hAnsiTheme="minorHAnsi" w:cstheme="minorHAnsi"/>
          <w:sz w:val="24"/>
          <w:szCs w:val="24"/>
        </w:rPr>
        <w:t xml:space="preserve">641. </w:t>
      </w:r>
      <w:hyperlink r:id="rId19" w:history="1">
        <w:r w:rsidR="00EC63D6" w:rsidRPr="00571454">
          <w:rPr>
            <w:rStyle w:val="a5"/>
            <w:rFonts w:asciiTheme="minorHAnsi" w:hAnsiTheme="minorHAnsi" w:cstheme="minorHAnsi"/>
            <w:sz w:val="24"/>
            <w:szCs w:val="24"/>
          </w:rPr>
          <w:t>https://doi.org/10.1080/02602931003632399</w:t>
        </w:r>
      </w:hyperlink>
    </w:p>
    <w:p w14:paraId="36E9A93E" w14:textId="1291D516" w:rsidR="006A0399" w:rsidRDefault="006A0399">
      <w:pPr>
        <w:tabs>
          <w:tab w:val="clear" w:pos="3068"/>
        </w:tabs>
        <w:spacing w:after="160" w:line="259" w:lineRule="auto"/>
        <w:ind w:firstLine="0"/>
        <w:rPr>
          <w:rFonts w:asciiTheme="minorHAnsi" w:hAnsiTheme="minorHAnsi" w:cstheme="minorHAnsi"/>
          <w:b/>
          <w:sz w:val="24"/>
          <w:szCs w:val="24"/>
        </w:rPr>
      </w:pPr>
      <w:r>
        <w:rPr>
          <w:rFonts w:asciiTheme="minorHAnsi" w:hAnsiTheme="minorHAnsi" w:cstheme="minorHAnsi"/>
          <w:b/>
          <w:sz w:val="24"/>
          <w:szCs w:val="24"/>
        </w:rPr>
        <w:br w:type="page"/>
      </w:r>
    </w:p>
    <w:p w14:paraId="61C54C82" w14:textId="72796A23" w:rsidR="00A25CAE" w:rsidRPr="00D92716" w:rsidRDefault="00A25CAE" w:rsidP="00D92716">
      <w:pPr>
        <w:pStyle w:val="TableandFiguretitle"/>
      </w:pPr>
      <w:r w:rsidRPr="00D92716">
        <w:rPr>
          <w:b/>
        </w:rPr>
        <w:lastRenderedPageBreak/>
        <w:t>Table 1</w:t>
      </w:r>
      <w:r w:rsidR="00C35B15" w:rsidRPr="00D92716">
        <w:rPr>
          <w:b/>
        </w:rPr>
        <w:t xml:space="preserve">. </w:t>
      </w:r>
      <w:r w:rsidRPr="00D92716">
        <w:t xml:space="preserve">Means and Standard Deviations for </w:t>
      </w:r>
      <w:r w:rsidR="00EB6B08" w:rsidRPr="00D92716">
        <w:t xml:space="preserve">Response Rates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798"/>
        <w:gridCol w:w="1799"/>
        <w:gridCol w:w="1799"/>
        <w:gridCol w:w="1799"/>
      </w:tblGrid>
      <w:tr w:rsidR="00643113" w:rsidRPr="00571454" w14:paraId="5544DA2B" w14:textId="77777777" w:rsidTr="00643113">
        <w:tc>
          <w:tcPr>
            <w:tcW w:w="2155" w:type="dxa"/>
            <w:vMerge w:val="restart"/>
            <w:tcBorders>
              <w:top w:val="single" w:sz="8" w:space="0" w:color="auto"/>
            </w:tcBorders>
          </w:tcPr>
          <w:p w14:paraId="6914F76F" w14:textId="77777777" w:rsidR="00643113" w:rsidRPr="00571454" w:rsidRDefault="00643113" w:rsidP="00571454">
            <w:pPr>
              <w:tabs>
                <w:tab w:val="clear" w:pos="3068"/>
              </w:tabs>
              <w:spacing w:after="160" w:line="240" w:lineRule="auto"/>
              <w:ind w:firstLine="0"/>
              <w:jc w:val="center"/>
              <w:rPr>
                <w:rFonts w:asciiTheme="minorHAnsi" w:hAnsiTheme="minorHAnsi" w:cstheme="minorHAnsi"/>
                <w:sz w:val="24"/>
                <w:szCs w:val="24"/>
              </w:rPr>
            </w:pPr>
            <w:r w:rsidRPr="00571454">
              <w:rPr>
                <w:rFonts w:asciiTheme="minorHAnsi" w:hAnsiTheme="minorHAnsi" w:cstheme="minorHAnsi"/>
                <w:sz w:val="24"/>
                <w:szCs w:val="24"/>
              </w:rPr>
              <w:t>Administration year</w:t>
            </w:r>
          </w:p>
        </w:tc>
        <w:tc>
          <w:tcPr>
            <w:tcW w:w="3597" w:type="dxa"/>
            <w:gridSpan w:val="2"/>
            <w:tcBorders>
              <w:top w:val="single" w:sz="8" w:space="0" w:color="auto"/>
              <w:bottom w:val="single" w:sz="8" w:space="0" w:color="auto"/>
            </w:tcBorders>
          </w:tcPr>
          <w:p w14:paraId="64653FDA" w14:textId="77777777" w:rsidR="00643113" w:rsidRPr="00571454" w:rsidRDefault="00643113" w:rsidP="00571454">
            <w:pPr>
              <w:tabs>
                <w:tab w:val="clear" w:pos="3068"/>
              </w:tabs>
              <w:spacing w:after="160" w:line="240" w:lineRule="auto"/>
              <w:ind w:firstLine="0"/>
              <w:jc w:val="center"/>
              <w:rPr>
                <w:rFonts w:asciiTheme="minorHAnsi" w:hAnsiTheme="minorHAnsi" w:cstheme="minorHAnsi"/>
                <w:sz w:val="24"/>
                <w:szCs w:val="24"/>
              </w:rPr>
            </w:pPr>
            <w:r w:rsidRPr="00571454">
              <w:rPr>
                <w:rFonts w:asciiTheme="minorHAnsi" w:hAnsiTheme="minorHAnsi" w:cstheme="minorHAnsi"/>
                <w:sz w:val="24"/>
                <w:szCs w:val="24"/>
              </w:rPr>
              <w:t>Face-to-face</w:t>
            </w:r>
            <w:r w:rsidR="001D7F11" w:rsidRPr="00571454">
              <w:rPr>
                <w:rFonts w:asciiTheme="minorHAnsi" w:hAnsiTheme="minorHAnsi" w:cstheme="minorHAnsi"/>
                <w:sz w:val="24"/>
                <w:szCs w:val="24"/>
              </w:rPr>
              <w:t xml:space="preserve"> course</w:t>
            </w:r>
          </w:p>
        </w:tc>
        <w:tc>
          <w:tcPr>
            <w:tcW w:w="3598" w:type="dxa"/>
            <w:gridSpan w:val="2"/>
            <w:tcBorders>
              <w:top w:val="single" w:sz="8" w:space="0" w:color="auto"/>
              <w:bottom w:val="single" w:sz="8" w:space="0" w:color="auto"/>
            </w:tcBorders>
          </w:tcPr>
          <w:p w14:paraId="1B4F88EE" w14:textId="77777777" w:rsidR="00643113" w:rsidRPr="00571454" w:rsidRDefault="00643113" w:rsidP="00571454">
            <w:pPr>
              <w:tabs>
                <w:tab w:val="clear" w:pos="3068"/>
              </w:tabs>
              <w:spacing w:after="160" w:line="240" w:lineRule="auto"/>
              <w:ind w:firstLine="0"/>
              <w:jc w:val="center"/>
              <w:rPr>
                <w:rFonts w:asciiTheme="minorHAnsi" w:hAnsiTheme="minorHAnsi" w:cstheme="minorHAnsi"/>
                <w:sz w:val="24"/>
                <w:szCs w:val="24"/>
              </w:rPr>
            </w:pPr>
            <w:r w:rsidRPr="00571454">
              <w:rPr>
                <w:rFonts w:asciiTheme="minorHAnsi" w:hAnsiTheme="minorHAnsi" w:cstheme="minorHAnsi"/>
                <w:sz w:val="24"/>
                <w:szCs w:val="24"/>
              </w:rPr>
              <w:t>Online</w:t>
            </w:r>
            <w:r w:rsidR="001D7F11" w:rsidRPr="00571454">
              <w:rPr>
                <w:rFonts w:asciiTheme="minorHAnsi" w:hAnsiTheme="minorHAnsi" w:cstheme="minorHAnsi"/>
                <w:sz w:val="24"/>
                <w:szCs w:val="24"/>
              </w:rPr>
              <w:t xml:space="preserve"> course</w:t>
            </w:r>
          </w:p>
        </w:tc>
      </w:tr>
      <w:tr w:rsidR="00643113" w:rsidRPr="00571454" w14:paraId="45F00663" w14:textId="77777777" w:rsidTr="00643113">
        <w:tc>
          <w:tcPr>
            <w:tcW w:w="2155" w:type="dxa"/>
            <w:vMerge/>
            <w:tcBorders>
              <w:bottom w:val="single" w:sz="8" w:space="0" w:color="auto"/>
            </w:tcBorders>
          </w:tcPr>
          <w:p w14:paraId="4D7276F1" w14:textId="77777777" w:rsidR="00643113" w:rsidRPr="00571454" w:rsidRDefault="00643113" w:rsidP="00571454">
            <w:pPr>
              <w:tabs>
                <w:tab w:val="clear" w:pos="3068"/>
              </w:tabs>
              <w:spacing w:after="160" w:line="240" w:lineRule="auto"/>
              <w:ind w:firstLine="0"/>
              <w:rPr>
                <w:rFonts w:asciiTheme="minorHAnsi" w:hAnsiTheme="minorHAnsi" w:cstheme="minorHAnsi"/>
                <w:sz w:val="24"/>
                <w:szCs w:val="24"/>
              </w:rPr>
            </w:pPr>
          </w:p>
        </w:tc>
        <w:tc>
          <w:tcPr>
            <w:tcW w:w="1798" w:type="dxa"/>
            <w:tcBorders>
              <w:top w:val="single" w:sz="8" w:space="0" w:color="auto"/>
              <w:bottom w:val="single" w:sz="8" w:space="0" w:color="auto"/>
            </w:tcBorders>
          </w:tcPr>
          <w:p w14:paraId="3B49D4CA" w14:textId="77777777" w:rsidR="00643113" w:rsidRPr="00571454" w:rsidRDefault="00643113" w:rsidP="00571454">
            <w:pPr>
              <w:tabs>
                <w:tab w:val="clear" w:pos="3068"/>
              </w:tabs>
              <w:spacing w:after="160" w:line="240" w:lineRule="auto"/>
              <w:ind w:firstLine="0"/>
              <w:jc w:val="center"/>
              <w:rPr>
                <w:rFonts w:asciiTheme="minorHAnsi" w:hAnsiTheme="minorHAnsi" w:cstheme="minorHAnsi"/>
                <w:i/>
                <w:sz w:val="24"/>
                <w:szCs w:val="24"/>
              </w:rPr>
            </w:pPr>
            <w:r w:rsidRPr="00571454">
              <w:rPr>
                <w:rFonts w:asciiTheme="minorHAnsi" w:hAnsiTheme="minorHAnsi" w:cstheme="minorHAnsi"/>
                <w:i/>
                <w:sz w:val="24"/>
                <w:szCs w:val="24"/>
              </w:rPr>
              <w:t>M</w:t>
            </w:r>
          </w:p>
        </w:tc>
        <w:tc>
          <w:tcPr>
            <w:tcW w:w="1799" w:type="dxa"/>
            <w:tcBorders>
              <w:top w:val="single" w:sz="8" w:space="0" w:color="auto"/>
              <w:bottom w:val="single" w:sz="8" w:space="0" w:color="auto"/>
            </w:tcBorders>
          </w:tcPr>
          <w:p w14:paraId="1A75300A" w14:textId="77777777" w:rsidR="00643113" w:rsidRPr="00571454" w:rsidRDefault="00643113" w:rsidP="00571454">
            <w:pPr>
              <w:tabs>
                <w:tab w:val="clear" w:pos="3068"/>
              </w:tabs>
              <w:spacing w:after="160" w:line="240" w:lineRule="auto"/>
              <w:ind w:firstLine="0"/>
              <w:jc w:val="center"/>
              <w:rPr>
                <w:rFonts w:asciiTheme="minorHAnsi" w:hAnsiTheme="minorHAnsi" w:cstheme="minorHAnsi"/>
                <w:i/>
                <w:sz w:val="24"/>
                <w:szCs w:val="24"/>
              </w:rPr>
            </w:pPr>
            <w:r w:rsidRPr="00571454">
              <w:rPr>
                <w:rFonts w:asciiTheme="minorHAnsi" w:hAnsiTheme="minorHAnsi" w:cstheme="minorHAnsi"/>
                <w:i/>
                <w:sz w:val="24"/>
                <w:szCs w:val="24"/>
              </w:rPr>
              <w:t>SD</w:t>
            </w:r>
          </w:p>
        </w:tc>
        <w:tc>
          <w:tcPr>
            <w:tcW w:w="1799" w:type="dxa"/>
            <w:tcBorders>
              <w:top w:val="single" w:sz="8" w:space="0" w:color="auto"/>
              <w:bottom w:val="single" w:sz="8" w:space="0" w:color="auto"/>
            </w:tcBorders>
          </w:tcPr>
          <w:p w14:paraId="1CC09D44" w14:textId="77777777" w:rsidR="00643113" w:rsidRPr="00571454" w:rsidRDefault="00643113" w:rsidP="00571454">
            <w:pPr>
              <w:tabs>
                <w:tab w:val="clear" w:pos="3068"/>
              </w:tabs>
              <w:spacing w:after="160" w:line="240" w:lineRule="auto"/>
              <w:ind w:firstLine="0"/>
              <w:jc w:val="center"/>
              <w:rPr>
                <w:rFonts w:asciiTheme="minorHAnsi" w:hAnsiTheme="minorHAnsi" w:cstheme="minorHAnsi"/>
                <w:i/>
                <w:sz w:val="24"/>
                <w:szCs w:val="24"/>
              </w:rPr>
            </w:pPr>
            <w:r w:rsidRPr="00571454">
              <w:rPr>
                <w:rFonts w:asciiTheme="minorHAnsi" w:hAnsiTheme="minorHAnsi" w:cstheme="minorHAnsi"/>
                <w:i/>
                <w:sz w:val="24"/>
                <w:szCs w:val="24"/>
              </w:rPr>
              <w:t>M</w:t>
            </w:r>
          </w:p>
        </w:tc>
        <w:tc>
          <w:tcPr>
            <w:tcW w:w="1799" w:type="dxa"/>
            <w:tcBorders>
              <w:top w:val="single" w:sz="8" w:space="0" w:color="auto"/>
              <w:bottom w:val="single" w:sz="8" w:space="0" w:color="auto"/>
            </w:tcBorders>
          </w:tcPr>
          <w:p w14:paraId="245E04EF" w14:textId="77777777" w:rsidR="00643113" w:rsidRPr="00571454" w:rsidRDefault="00643113" w:rsidP="00571454">
            <w:pPr>
              <w:tabs>
                <w:tab w:val="clear" w:pos="3068"/>
              </w:tabs>
              <w:spacing w:after="160" w:line="240" w:lineRule="auto"/>
              <w:ind w:firstLine="0"/>
              <w:jc w:val="center"/>
              <w:rPr>
                <w:rFonts w:asciiTheme="minorHAnsi" w:hAnsiTheme="minorHAnsi" w:cstheme="minorHAnsi"/>
                <w:i/>
                <w:sz w:val="24"/>
                <w:szCs w:val="24"/>
              </w:rPr>
            </w:pPr>
            <w:r w:rsidRPr="00571454">
              <w:rPr>
                <w:rFonts w:asciiTheme="minorHAnsi" w:hAnsiTheme="minorHAnsi" w:cstheme="minorHAnsi"/>
                <w:i/>
                <w:sz w:val="24"/>
                <w:szCs w:val="24"/>
              </w:rPr>
              <w:t>SD</w:t>
            </w:r>
          </w:p>
        </w:tc>
      </w:tr>
      <w:tr w:rsidR="004E6B89" w:rsidRPr="00571454" w14:paraId="393EF4CE" w14:textId="77777777" w:rsidTr="00643113">
        <w:tc>
          <w:tcPr>
            <w:tcW w:w="2155" w:type="dxa"/>
            <w:tcBorders>
              <w:top w:val="single" w:sz="8" w:space="0" w:color="auto"/>
            </w:tcBorders>
          </w:tcPr>
          <w:p w14:paraId="2431DB55" w14:textId="77777777" w:rsidR="00A25CAE" w:rsidRPr="00571454" w:rsidRDefault="00A25CAE" w:rsidP="00571454">
            <w:pPr>
              <w:tabs>
                <w:tab w:val="clear" w:pos="3068"/>
              </w:tabs>
              <w:spacing w:after="160" w:line="240" w:lineRule="auto"/>
              <w:ind w:firstLine="0"/>
              <w:rPr>
                <w:rFonts w:asciiTheme="minorHAnsi" w:hAnsiTheme="minorHAnsi" w:cstheme="minorHAnsi"/>
                <w:sz w:val="24"/>
                <w:szCs w:val="24"/>
              </w:rPr>
            </w:pPr>
            <w:r w:rsidRPr="00571454">
              <w:rPr>
                <w:rFonts w:asciiTheme="minorHAnsi" w:hAnsiTheme="minorHAnsi" w:cstheme="minorHAnsi"/>
                <w:sz w:val="24"/>
                <w:szCs w:val="24"/>
              </w:rPr>
              <w:t>Year 1</w:t>
            </w:r>
            <w:r w:rsidR="00643113" w:rsidRPr="00571454">
              <w:rPr>
                <w:rFonts w:asciiTheme="minorHAnsi" w:hAnsiTheme="minorHAnsi" w:cstheme="minorHAnsi"/>
                <w:sz w:val="24"/>
                <w:szCs w:val="24"/>
              </w:rPr>
              <w:t xml:space="preserve">: </w:t>
            </w:r>
            <w:r w:rsidRPr="00571454">
              <w:rPr>
                <w:rFonts w:asciiTheme="minorHAnsi" w:hAnsiTheme="minorHAnsi" w:cstheme="minorHAnsi"/>
                <w:sz w:val="24"/>
                <w:szCs w:val="24"/>
              </w:rPr>
              <w:t>2012</w:t>
            </w:r>
          </w:p>
        </w:tc>
        <w:tc>
          <w:tcPr>
            <w:tcW w:w="1798" w:type="dxa"/>
            <w:tcBorders>
              <w:top w:val="single" w:sz="8" w:space="0" w:color="auto"/>
            </w:tcBorders>
          </w:tcPr>
          <w:p w14:paraId="27B81DC7" w14:textId="77777777" w:rsidR="00A25CAE" w:rsidRPr="00571454" w:rsidRDefault="00A25CAE" w:rsidP="00571454">
            <w:pPr>
              <w:tabs>
                <w:tab w:val="clear" w:pos="3068"/>
              </w:tabs>
              <w:spacing w:after="160" w:line="240" w:lineRule="auto"/>
              <w:ind w:firstLine="0"/>
              <w:jc w:val="center"/>
              <w:rPr>
                <w:rFonts w:asciiTheme="minorHAnsi" w:hAnsiTheme="minorHAnsi" w:cstheme="minorHAnsi"/>
                <w:sz w:val="24"/>
                <w:szCs w:val="24"/>
              </w:rPr>
            </w:pPr>
            <w:r w:rsidRPr="00571454">
              <w:rPr>
                <w:rFonts w:asciiTheme="minorHAnsi" w:hAnsiTheme="minorHAnsi" w:cstheme="minorHAnsi"/>
                <w:sz w:val="24"/>
                <w:szCs w:val="24"/>
              </w:rPr>
              <w:t>71.72</w:t>
            </w:r>
          </w:p>
        </w:tc>
        <w:tc>
          <w:tcPr>
            <w:tcW w:w="1799" w:type="dxa"/>
            <w:tcBorders>
              <w:top w:val="single" w:sz="8" w:space="0" w:color="auto"/>
            </w:tcBorders>
          </w:tcPr>
          <w:p w14:paraId="5D5B2339" w14:textId="77777777" w:rsidR="00A25CAE" w:rsidRPr="00571454" w:rsidRDefault="00A25CAE" w:rsidP="00571454">
            <w:pPr>
              <w:tabs>
                <w:tab w:val="clear" w:pos="3068"/>
              </w:tabs>
              <w:spacing w:after="160" w:line="240" w:lineRule="auto"/>
              <w:ind w:firstLine="0"/>
              <w:jc w:val="center"/>
              <w:rPr>
                <w:rFonts w:asciiTheme="minorHAnsi" w:hAnsiTheme="minorHAnsi" w:cstheme="minorHAnsi"/>
                <w:sz w:val="24"/>
                <w:szCs w:val="24"/>
              </w:rPr>
            </w:pPr>
            <w:r w:rsidRPr="00571454">
              <w:rPr>
                <w:rFonts w:asciiTheme="minorHAnsi" w:hAnsiTheme="minorHAnsi" w:cstheme="minorHAnsi"/>
                <w:sz w:val="24"/>
                <w:szCs w:val="24"/>
              </w:rPr>
              <w:t>16.42</w:t>
            </w:r>
          </w:p>
        </w:tc>
        <w:tc>
          <w:tcPr>
            <w:tcW w:w="1799" w:type="dxa"/>
            <w:tcBorders>
              <w:top w:val="single" w:sz="8" w:space="0" w:color="auto"/>
            </w:tcBorders>
          </w:tcPr>
          <w:p w14:paraId="0C6329F0" w14:textId="77777777" w:rsidR="00A25CAE" w:rsidRPr="00571454" w:rsidRDefault="00A25CAE" w:rsidP="00571454">
            <w:pPr>
              <w:tabs>
                <w:tab w:val="clear" w:pos="3068"/>
              </w:tabs>
              <w:spacing w:after="160" w:line="240" w:lineRule="auto"/>
              <w:ind w:firstLine="0"/>
              <w:jc w:val="center"/>
              <w:rPr>
                <w:rFonts w:asciiTheme="minorHAnsi" w:hAnsiTheme="minorHAnsi" w:cstheme="minorHAnsi"/>
                <w:sz w:val="24"/>
                <w:szCs w:val="24"/>
              </w:rPr>
            </w:pPr>
            <w:r w:rsidRPr="00571454">
              <w:rPr>
                <w:rFonts w:asciiTheme="minorHAnsi" w:hAnsiTheme="minorHAnsi" w:cstheme="minorHAnsi"/>
                <w:sz w:val="24"/>
                <w:szCs w:val="24"/>
              </w:rPr>
              <w:t>32.93</w:t>
            </w:r>
          </w:p>
        </w:tc>
        <w:tc>
          <w:tcPr>
            <w:tcW w:w="1799" w:type="dxa"/>
            <w:tcBorders>
              <w:top w:val="single" w:sz="8" w:space="0" w:color="auto"/>
            </w:tcBorders>
          </w:tcPr>
          <w:p w14:paraId="534C82B3" w14:textId="77777777" w:rsidR="00A25CAE" w:rsidRPr="00571454" w:rsidRDefault="00A25CAE" w:rsidP="00571454">
            <w:pPr>
              <w:tabs>
                <w:tab w:val="clear" w:pos="3068"/>
              </w:tabs>
              <w:spacing w:after="160" w:line="240" w:lineRule="auto"/>
              <w:ind w:firstLine="0"/>
              <w:jc w:val="center"/>
              <w:rPr>
                <w:rFonts w:asciiTheme="minorHAnsi" w:hAnsiTheme="minorHAnsi" w:cstheme="minorHAnsi"/>
                <w:sz w:val="24"/>
                <w:szCs w:val="24"/>
              </w:rPr>
            </w:pPr>
            <w:r w:rsidRPr="00571454">
              <w:rPr>
                <w:rFonts w:asciiTheme="minorHAnsi" w:hAnsiTheme="minorHAnsi" w:cstheme="minorHAnsi"/>
                <w:sz w:val="24"/>
                <w:szCs w:val="24"/>
              </w:rPr>
              <w:t>15.73</w:t>
            </w:r>
          </w:p>
        </w:tc>
      </w:tr>
      <w:tr w:rsidR="004E6B89" w:rsidRPr="00571454" w14:paraId="01826471" w14:textId="77777777" w:rsidTr="00643113">
        <w:tc>
          <w:tcPr>
            <w:tcW w:w="2155" w:type="dxa"/>
          </w:tcPr>
          <w:p w14:paraId="3F424C44" w14:textId="77777777" w:rsidR="00A25CAE" w:rsidRPr="00571454" w:rsidRDefault="00A25CAE" w:rsidP="00571454">
            <w:pPr>
              <w:tabs>
                <w:tab w:val="clear" w:pos="3068"/>
              </w:tabs>
              <w:spacing w:after="160" w:line="240" w:lineRule="auto"/>
              <w:ind w:firstLine="0"/>
              <w:rPr>
                <w:rFonts w:asciiTheme="minorHAnsi" w:hAnsiTheme="minorHAnsi" w:cstheme="minorHAnsi"/>
                <w:sz w:val="24"/>
                <w:szCs w:val="24"/>
              </w:rPr>
            </w:pPr>
            <w:r w:rsidRPr="00571454">
              <w:rPr>
                <w:rFonts w:asciiTheme="minorHAnsi" w:hAnsiTheme="minorHAnsi" w:cstheme="minorHAnsi"/>
                <w:sz w:val="24"/>
                <w:szCs w:val="24"/>
              </w:rPr>
              <w:t>Year 2</w:t>
            </w:r>
            <w:r w:rsidR="00643113" w:rsidRPr="00571454">
              <w:rPr>
                <w:rFonts w:asciiTheme="minorHAnsi" w:hAnsiTheme="minorHAnsi" w:cstheme="minorHAnsi"/>
                <w:sz w:val="24"/>
                <w:szCs w:val="24"/>
              </w:rPr>
              <w:t xml:space="preserve">: </w:t>
            </w:r>
            <w:r w:rsidRPr="00571454">
              <w:rPr>
                <w:rFonts w:asciiTheme="minorHAnsi" w:hAnsiTheme="minorHAnsi" w:cstheme="minorHAnsi"/>
                <w:sz w:val="24"/>
                <w:szCs w:val="24"/>
              </w:rPr>
              <w:t>2013</w:t>
            </w:r>
          </w:p>
        </w:tc>
        <w:tc>
          <w:tcPr>
            <w:tcW w:w="1798" w:type="dxa"/>
          </w:tcPr>
          <w:p w14:paraId="6D74A6D7" w14:textId="77777777" w:rsidR="00A25CAE" w:rsidRPr="00571454" w:rsidRDefault="00A25CAE" w:rsidP="00571454">
            <w:pPr>
              <w:tabs>
                <w:tab w:val="clear" w:pos="3068"/>
              </w:tabs>
              <w:spacing w:after="160" w:line="240" w:lineRule="auto"/>
              <w:ind w:firstLine="0"/>
              <w:jc w:val="center"/>
              <w:rPr>
                <w:rFonts w:asciiTheme="minorHAnsi" w:hAnsiTheme="minorHAnsi" w:cstheme="minorHAnsi"/>
                <w:sz w:val="24"/>
                <w:szCs w:val="24"/>
              </w:rPr>
            </w:pPr>
            <w:r w:rsidRPr="00571454">
              <w:rPr>
                <w:rFonts w:asciiTheme="minorHAnsi" w:hAnsiTheme="minorHAnsi" w:cstheme="minorHAnsi"/>
                <w:sz w:val="24"/>
                <w:szCs w:val="24"/>
              </w:rPr>
              <w:t>72.31</w:t>
            </w:r>
          </w:p>
        </w:tc>
        <w:tc>
          <w:tcPr>
            <w:tcW w:w="1799" w:type="dxa"/>
          </w:tcPr>
          <w:p w14:paraId="2F3173A7" w14:textId="77777777" w:rsidR="00A25CAE" w:rsidRPr="00571454" w:rsidRDefault="00A25CAE" w:rsidP="00571454">
            <w:pPr>
              <w:tabs>
                <w:tab w:val="clear" w:pos="3068"/>
              </w:tabs>
              <w:spacing w:after="160" w:line="240" w:lineRule="auto"/>
              <w:ind w:firstLine="0"/>
              <w:jc w:val="center"/>
              <w:rPr>
                <w:rFonts w:asciiTheme="minorHAnsi" w:hAnsiTheme="minorHAnsi" w:cstheme="minorHAnsi"/>
                <w:sz w:val="24"/>
                <w:szCs w:val="24"/>
              </w:rPr>
            </w:pPr>
            <w:r w:rsidRPr="00571454">
              <w:rPr>
                <w:rFonts w:asciiTheme="minorHAnsi" w:hAnsiTheme="minorHAnsi" w:cstheme="minorHAnsi"/>
                <w:sz w:val="24"/>
                <w:szCs w:val="24"/>
              </w:rPr>
              <w:t>14.93</w:t>
            </w:r>
          </w:p>
        </w:tc>
        <w:tc>
          <w:tcPr>
            <w:tcW w:w="1799" w:type="dxa"/>
          </w:tcPr>
          <w:p w14:paraId="172E96BA" w14:textId="77777777" w:rsidR="00A25CAE" w:rsidRPr="00571454" w:rsidRDefault="00A25CAE" w:rsidP="00571454">
            <w:pPr>
              <w:tabs>
                <w:tab w:val="clear" w:pos="3068"/>
              </w:tabs>
              <w:spacing w:after="160" w:line="240" w:lineRule="auto"/>
              <w:ind w:firstLine="0"/>
              <w:jc w:val="center"/>
              <w:rPr>
                <w:rFonts w:asciiTheme="minorHAnsi" w:hAnsiTheme="minorHAnsi" w:cstheme="minorHAnsi"/>
                <w:sz w:val="24"/>
                <w:szCs w:val="24"/>
              </w:rPr>
            </w:pPr>
            <w:r w:rsidRPr="00571454">
              <w:rPr>
                <w:rFonts w:asciiTheme="minorHAnsi" w:hAnsiTheme="minorHAnsi" w:cstheme="minorHAnsi"/>
                <w:sz w:val="24"/>
                <w:szCs w:val="24"/>
              </w:rPr>
              <w:t>32.55</w:t>
            </w:r>
          </w:p>
        </w:tc>
        <w:tc>
          <w:tcPr>
            <w:tcW w:w="1799" w:type="dxa"/>
          </w:tcPr>
          <w:p w14:paraId="715914DD" w14:textId="77777777" w:rsidR="00A25CAE" w:rsidRPr="00571454" w:rsidRDefault="00A25CAE" w:rsidP="00571454">
            <w:pPr>
              <w:tabs>
                <w:tab w:val="clear" w:pos="3068"/>
              </w:tabs>
              <w:spacing w:after="160" w:line="240" w:lineRule="auto"/>
              <w:ind w:firstLine="0"/>
              <w:jc w:val="center"/>
              <w:rPr>
                <w:rFonts w:asciiTheme="minorHAnsi" w:hAnsiTheme="minorHAnsi" w:cstheme="minorHAnsi"/>
                <w:sz w:val="24"/>
                <w:szCs w:val="24"/>
              </w:rPr>
            </w:pPr>
            <w:r w:rsidRPr="00571454">
              <w:rPr>
                <w:rFonts w:asciiTheme="minorHAnsi" w:hAnsiTheme="minorHAnsi" w:cstheme="minorHAnsi"/>
                <w:sz w:val="24"/>
                <w:szCs w:val="24"/>
              </w:rPr>
              <w:t>15.96</w:t>
            </w:r>
          </w:p>
        </w:tc>
      </w:tr>
      <w:tr w:rsidR="004E6B89" w:rsidRPr="00571454" w14:paraId="03FB4D04" w14:textId="77777777" w:rsidTr="00643113">
        <w:tc>
          <w:tcPr>
            <w:tcW w:w="2155" w:type="dxa"/>
            <w:tcBorders>
              <w:bottom w:val="single" w:sz="8" w:space="0" w:color="auto"/>
            </w:tcBorders>
          </w:tcPr>
          <w:p w14:paraId="0253E3CC" w14:textId="77777777" w:rsidR="00A25CAE" w:rsidRPr="00571454" w:rsidRDefault="00A25CAE" w:rsidP="00571454">
            <w:pPr>
              <w:tabs>
                <w:tab w:val="clear" w:pos="3068"/>
              </w:tabs>
              <w:spacing w:after="160" w:line="240" w:lineRule="auto"/>
              <w:ind w:firstLine="0"/>
              <w:rPr>
                <w:rFonts w:asciiTheme="minorHAnsi" w:hAnsiTheme="minorHAnsi" w:cstheme="minorHAnsi"/>
                <w:sz w:val="24"/>
                <w:szCs w:val="24"/>
              </w:rPr>
            </w:pPr>
            <w:r w:rsidRPr="00571454">
              <w:rPr>
                <w:rFonts w:asciiTheme="minorHAnsi" w:hAnsiTheme="minorHAnsi" w:cstheme="minorHAnsi"/>
                <w:sz w:val="24"/>
                <w:szCs w:val="24"/>
              </w:rPr>
              <w:t>Year 3</w:t>
            </w:r>
            <w:r w:rsidR="00643113" w:rsidRPr="00571454">
              <w:rPr>
                <w:rFonts w:asciiTheme="minorHAnsi" w:hAnsiTheme="minorHAnsi" w:cstheme="minorHAnsi"/>
                <w:sz w:val="24"/>
                <w:szCs w:val="24"/>
              </w:rPr>
              <w:t xml:space="preserve">: </w:t>
            </w:r>
            <w:r w:rsidRPr="00571454">
              <w:rPr>
                <w:rFonts w:asciiTheme="minorHAnsi" w:hAnsiTheme="minorHAnsi" w:cstheme="minorHAnsi"/>
                <w:sz w:val="24"/>
                <w:szCs w:val="24"/>
              </w:rPr>
              <w:t>2014</w:t>
            </w:r>
          </w:p>
        </w:tc>
        <w:tc>
          <w:tcPr>
            <w:tcW w:w="1798" w:type="dxa"/>
            <w:tcBorders>
              <w:bottom w:val="single" w:sz="8" w:space="0" w:color="auto"/>
            </w:tcBorders>
          </w:tcPr>
          <w:p w14:paraId="6756CB0C" w14:textId="77777777" w:rsidR="00A25CAE" w:rsidRPr="00571454" w:rsidRDefault="00A25CAE" w:rsidP="00571454">
            <w:pPr>
              <w:tabs>
                <w:tab w:val="clear" w:pos="3068"/>
              </w:tabs>
              <w:spacing w:after="160" w:line="240" w:lineRule="auto"/>
              <w:ind w:firstLine="0"/>
              <w:jc w:val="center"/>
              <w:rPr>
                <w:rFonts w:asciiTheme="minorHAnsi" w:hAnsiTheme="minorHAnsi" w:cstheme="minorHAnsi"/>
                <w:sz w:val="24"/>
                <w:szCs w:val="24"/>
              </w:rPr>
            </w:pPr>
            <w:r w:rsidRPr="00571454">
              <w:rPr>
                <w:rFonts w:asciiTheme="minorHAnsi" w:hAnsiTheme="minorHAnsi" w:cstheme="minorHAnsi"/>
                <w:sz w:val="24"/>
                <w:szCs w:val="24"/>
              </w:rPr>
              <w:t>47.18</w:t>
            </w:r>
          </w:p>
        </w:tc>
        <w:tc>
          <w:tcPr>
            <w:tcW w:w="1799" w:type="dxa"/>
            <w:tcBorders>
              <w:bottom w:val="single" w:sz="8" w:space="0" w:color="auto"/>
            </w:tcBorders>
          </w:tcPr>
          <w:p w14:paraId="07B86AB5" w14:textId="77777777" w:rsidR="00A25CAE" w:rsidRPr="00571454" w:rsidRDefault="00A25CAE" w:rsidP="00571454">
            <w:pPr>
              <w:tabs>
                <w:tab w:val="clear" w:pos="3068"/>
              </w:tabs>
              <w:spacing w:after="160" w:line="240" w:lineRule="auto"/>
              <w:ind w:firstLine="0"/>
              <w:jc w:val="center"/>
              <w:rPr>
                <w:rFonts w:asciiTheme="minorHAnsi" w:hAnsiTheme="minorHAnsi" w:cstheme="minorHAnsi"/>
                <w:sz w:val="24"/>
                <w:szCs w:val="24"/>
              </w:rPr>
            </w:pPr>
            <w:r w:rsidRPr="00571454">
              <w:rPr>
                <w:rFonts w:asciiTheme="minorHAnsi" w:hAnsiTheme="minorHAnsi" w:cstheme="minorHAnsi"/>
                <w:sz w:val="24"/>
                <w:szCs w:val="24"/>
              </w:rPr>
              <w:t>20.11</w:t>
            </w:r>
          </w:p>
        </w:tc>
        <w:tc>
          <w:tcPr>
            <w:tcW w:w="1799" w:type="dxa"/>
            <w:tcBorders>
              <w:bottom w:val="single" w:sz="8" w:space="0" w:color="auto"/>
            </w:tcBorders>
          </w:tcPr>
          <w:p w14:paraId="48E256BA" w14:textId="77777777" w:rsidR="00A25CAE" w:rsidRPr="00571454" w:rsidRDefault="00A25CAE" w:rsidP="00571454">
            <w:pPr>
              <w:tabs>
                <w:tab w:val="clear" w:pos="3068"/>
              </w:tabs>
              <w:spacing w:after="160" w:line="240" w:lineRule="auto"/>
              <w:ind w:firstLine="0"/>
              <w:jc w:val="center"/>
              <w:rPr>
                <w:rFonts w:asciiTheme="minorHAnsi" w:hAnsiTheme="minorHAnsi" w:cstheme="minorHAnsi"/>
                <w:sz w:val="24"/>
                <w:szCs w:val="24"/>
              </w:rPr>
            </w:pPr>
            <w:r w:rsidRPr="00571454">
              <w:rPr>
                <w:rFonts w:asciiTheme="minorHAnsi" w:hAnsiTheme="minorHAnsi" w:cstheme="minorHAnsi"/>
                <w:sz w:val="24"/>
                <w:szCs w:val="24"/>
              </w:rPr>
              <w:t>41.60</w:t>
            </w:r>
          </w:p>
        </w:tc>
        <w:tc>
          <w:tcPr>
            <w:tcW w:w="1799" w:type="dxa"/>
            <w:tcBorders>
              <w:bottom w:val="single" w:sz="8" w:space="0" w:color="auto"/>
            </w:tcBorders>
          </w:tcPr>
          <w:p w14:paraId="2E260785" w14:textId="77777777" w:rsidR="00A25CAE" w:rsidRPr="00571454" w:rsidRDefault="00A25CAE" w:rsidP="00571454">
            <w:pPr>
              <w:tabs>
                <w:tab w:val="clear" w:pos="3068"/>
              </w:tabs>
              <w:spacing w:after="160" w:line="240" w:lineRule="auto"/>
              <w:ind w:firstLine="0"/>
              <w:jc w:val="center"/>
              <w:rPr>
                <w:rFonts w:asciiTheme="minorHAnsi" w:hAnsiTheme="minorHAnsi" w:cstheme="minorHAnsi"/>
                <w:sz w:val="24"/>
                <w:szCs w:val="24"/>
              </w:rPr>
            </w:pPr>
            <w:r w:rsidRPr="00571454">
              <w:rPr>
                <w:rFonts w:asciiTheme="minorHAnsi" w:hAnsiTheme="minorHAnsi" w:cstheme="minorHAnsi"/>
                <w:sz w:val="24"/>
                <w:szCs w:val="24"/>
              </w:rPr>
              <w:t>18.23</w:t>
            </w:r>
          </w:p>
        </w:tc>
      </w:tr>
    </w:tbl>
    <w:p w14:paraId="7221D5C6" w14:textId="5D88D303" w:rsidR="00436FA4" w:rsidRDefault="00A25CAE" w:rsidP="00571454">
      <w:pPr>
        <w:tabs>
          <w:tab w:val="clear" w:pos="3068"/>
        </w:tabs>
        <w:spacing w:line="240" w:lineRule="auto"/>
        <w:ind w:firstLine="0"/>
        <w:rPr>
          <w:rFonts w:asciiTheme="minorHAnsi" w:hAnsiTheme="minorHAnsi" w:cstheme="minorHAnsi"/>
          <w:sz w:val="24"/>
          <w:szCs w:val="24"/>
        </w:rPr>
      </w:pPr>
      <w:r w:rsidRPr="00571454">
        <w:rPr>
          <w:rFonts w:asciiTheme="minorHAnsi" w:hAnsiTheme="minorHAnsi" w:cstheme="minorHAnsi"/>
          <w:i/>
          <w:sz w:val="24"/>
          <w:szCs w:val="24"/>
        </w:rPr>
        <w:t>Note.</w:t>
      </w:r>
      <w:r w:rsidRPr="00571454">
        <w:rPr>
          <w:rFonts w:asciiTheme="minorHAnsi" w:hAnsiTheme="minorHAnsi" w:cstheme="minorHAnsi"/>
          <w:sz w:val="24"/>
          <w:szCs w:val="24"/>
        </w:rPr>
        <w:t xml:space="preserve"> </w:t>
      </w:r>
      <w:r w:rsidR="007F2410" w:rsidRPr="00571454">
        <w:rPr>
          <w:rFonts w:asciiTheme="minorHAnsi" w:hAnsiTheme="minorHAnsi" w:cstheme="minorHAnsi"/>
          <w:sz w:val="24"/>
          <w:szCs w:val="24"/>
        </w:rPr>
        <w:t xml:space="preserve">Student evaluations of teaching (SETs) </w:t>
      </w:r>
      <w:r w:rsidRPr="00571454">
        <w:rPr>
          <w:rFonts w:asciiTheme="minorHAnsi" w:hAnsiTheme="minorHAnsi" w:cstheme="minorHAnsi"/>
          <w:sz w:val="24"/>
          <w:szCs w:val="24"/>
        </w:rPr>
        <w:t>were administered in two modalities in Years 1 and 2</w:t>
      </w:r>
      <w:r w:rsidR="006274E0" w:rsidRPr="00571454">
        <w:rPr>
          <w:rFonts w:asciiTheme="minorHAnsi" w:hAnsiTheme="minorHAnsi" w:cstheme="minorHAnsi"/>
          <w:sz w:val="24"/>
          <w:szCs w:val="24"/>
        </w:rPr>
        <w:t>:</w:t>
      </w:r>
      <w:r w:rsidRPr="00571454">
        <w:rPr>
          <w:rFonts w:asciiTheme="minorHAnsi" w:hAnsiTheme="minorHAnsi" w:cstheme="minorHAnsi"/>
          <w:sz w:val="24"/>
          <w:szCs w:val="24"/>
        </w:rPr>
        <w:t xml:space="preserve"> paper</w:t>
      </w:r>
      <w:r w:rsidR="006274E0" w:rsidRPr="00571454">
        <w:rPr>
          <w:rFonts w:asciiTheme="minorHAnsi" w:hAnsiTheme="minorHAnsi" w:cstheme="minorHAnsi"/>
          <w:sz w:val="24"/>
          <w:szCs w:val="24"/>
        </w:rPr>
        <w:t xml:space="preserve"> </w:t>
      </w:r>
      <w:r w:rsidRPr="00571454">
        <w:rPr>
          <w:rFonts w:asciiTheme="minorHAnsi" w:hAnsiTheme="minorHAnsi" w:cstheme="minorHAnsi"/>
          <w:sz w:val="24"/>
          <w:szCs w:val="24"/>
        </w:rPr>
        <w:t xml:space="preserve">based </w:t>
      </w:r>
      <w:r w:rsidR="00EB785F" w:rsidRPr="00571454">
        <w:rPr>
          <w:rFonts w:asciiTheme="minorHAnsi" w:hAnsiTheme="minorHAnsi" w:cstheme="minorHAnsi"/>
          <w:sz w:val="24"/>
          <w:szCs w:val="24"/>
        </w:rPr>
        <w:t>f</w:t>
      </w:r>
      <w:r w:rsidRPr="00571454">
        <w:rPr>
          <w:rFonts w:asciiTheme="minorHAnsi" w:hAnsiTheme="minorHAnsi" w:cstheme="minorHAnsi"/>
          <w:sz w:val="24"/>
          <w:szCs w:val="24"/>
        </w:rPr>
        <w:t>or face-to-face courses and online for online courses. SETs were administered on</w:t>
      </w:r>
      <w:r w:rsidR="006274E0" w:rsidRPr="00571454">
        <w:rPr>
          <w:rFonts w:asciiTheme="minorHAnsi" w:hAnsiTheme="minorHAnsi" w:cstheme="minorHAnsi"/>
          <w:sz w:val="24"/>
          <w:szCs w:val="24"/>
        </w:rPr>
        <w:t>line for all courses in Year 3.</w:t>
      </w:r>
    </w:p>
    <w:p w14:paraId="6513F773" w14:textId="4A08DD0E" w:rsidR="00436FA4" w:rsidRDefault="00436FA4" w:rsidP="00571454">
      <w:pPr>
        <w:tabs>
          <w:tab w:val="clear" w:pos="3068"/>
        </w:tabs>
        <w:spacing w:line="240" w:lineRule="auto"/>
        <w:ind w:firstLine="0"/>
        <w:rPr>
          <w:rFonts w:asciiTheme="minorHAnsi" w:hAnsiTheme="minorHAnsi" w:cstheme="minorHAnsi"/>
          <w:sz w:val="24"/>
          <w:szCs w:val="24"/>
        </w:rPr>
      </w:pPr>
    </w:p>
    <w:p w14:paraId="5115399A" w14:textId="364FA8C8" w:rsidR="00436FA4" w:rsidRDefault="00436FA4" w:rsidP="00571454">
      <w:pPr>
        <w:tabs>
          <w:tab w:val="clear" w:pos="3068"/>
        </w:tabs>
        <w:spacing w:line="240" w:lineRule="auto"/>
        <w:ind w:firstLine="0"/>
        <w:rPr>
          <w:rFonts w:asciiTheme="minorHAnsi" w:hAnsiTheme="minorHAnsi" w:cstheme="minorHAnsi"/>
          <w:sz w:val="24"/>
          <w:szCs w:val="24"/>
        </w:rPr>
      </w:pPr>
    </w:p>
    <w:p w14:paraId="290AC059" w14:textId="77777777" w:rsidR="00436FA4" w:rsidRPr="00571454" w:rsidRDefault="00436FA4" w:rsidP="00571454">
      <w:pPr>
        <w:tabs>
          <w:tab w:val="clear" w:pos="3068"/>
        </w:tabs>
        <w:spacing w:line="240" w:lineRule="auto"/>
        <w:ind w:firstLine="0"/>
        <w:rPr>
          <w:rFonts w:asciiTheme="minorHAnsi" w:hAnsiTheme="minorHAnsi" w:cstheme="minorHAnsi"/>
          <w:sz w:val="24"/>
          <w:szCs w:val="24"/>
        </w:rPr>
      </w:pPr>
    </w:p>
    <w:p w14:paraId="1E936AC2" w14:textId="2565522C" w:rsidR="00B40BBE" w:rsidRPr="00C35B15" w:rsidRDefault="00B40BBE" w:rsidP="00D92716">
      <w:pPr>
        <w:pStyle w:val="TableandFiguretitle"/>
      </w:pPr>
      <w:r w:rsidRPr="00C35B15">
        <w:rPr>
          <w:b/>
        </w:rPr>
        <w:t>Figure 1</w:t>
      </w:r>
      <w:r w:rsidR="00C35B15" w:rsidRPr="00C35B15">
        <w:rPr>
          <w:b/>
        </w:rPr>
        <w:t xml:space="preserve">. </w:t>
      </w:r>
      <w:r w:rsidRPr="00C35B15">
        <w:t>Scatterplot Depicting the Correlation Between Response Rate</w:t>
      </w:r>
      <w:r w:rsidR="001D7F11" w:rsidRPr="00C35B15">
        <w:t>s</w:t>
      </w:r>
      <w:r w:rsidRPr="00C35B15">
        <w:t xml:space="preserve"> and Evaluation Ratings </w:t>
      </w:r>
    </w:p>
    <w:p w14:paraId="18734E1A" w14:textId="77777777" w:rsidR="00E102C3" w:rsidRPr="00571454" w:rsidRDefault="00B40BBE" w:rsidP="00571454">
      <w:pPr>
        <w:spacing w:line="240" w:lineRule="auto"/>
        <w:ind w:left="720" w:hanging="720"/>
        <w:rPr>
          <w:rFonts w:asciiTheme="minorHAnsi" w:hAnsiTheme="minorHAnsi" w:cstheme="minorHAnsi"/>
          <w:sz w:val="24"/>
          <w:szCs w:val="24"/>
        </w:rPr>
      </w:pPr>
      <w:r w:rsidRPr="00571454">
        <w:rPr>
          <w:rFonts w:asciiTheme="minorHAnsi" w:hAnsiTheme="minorHAnsi" w:cstheme="minorHAnsi"/>
          <w:noProof/>
          <w:sz w:val="24"/>
          <w:szCs w:val="24"/>
        </w:rPr>
        <w:drawing>
          <wp:inline distT="0" distB="0" distL="0" distR="0" wp14:anchorId="6D8392C8" wp14:editId="6BA2F06D">
            <wp:extent cx="5255895" cy="3140710"/>
            <wp:effectExtent l="0" t="0" r="1905" b="2540"/>
            <wp:docPr id="2" name="Picture 2" descr="Figure 1. A scatterplot depicting the correlation between response rate and evaluation ratings during the 2014 Fall academic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A scatterplot depicting the correlation between response rate and evaluation ratings during the 2014 Fall academic term."/>
                    <pic:cNvPicPr>
                      <a:picLocks noChangeAspect="1" noChangeArrowheads="1"/>
                    </pic:cNvPicPr>
                  </pic:nvPicPr>
                  <pic:blipFill>
                    <a:blip r:embed="rId20">
                      <a:extLst>
                        <a:ext uri="{BEBA8EAE-BF5A-486C-A8C5-ECC9F3942E4B}">
                          <a14:imgProps xmlns:a14="http://schemas.microsoft.com/office/drawing/2010/main">
                            <a14:imgLayer r:embed="rId21">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55895" cy="3140710"/>
                    </a:xfrm>
                    <a:prstGeom prst="rect">
                      <a:avLst/>
                    </a:prstGeom>
                    <a:noFill/>
                    <a:ln>
                      <a:noFill/>
                    </a:ln>
                  </pic:spPr>
                </pic:pic>
              </a:graphicData>
            </a:graphic>
          </wp:inline>
        </w:drawing>
      </w:r>
    </w:p>
    <w:p w14:paraId="1A87F9B7" w14:textId="30F965C0" w:rsidR="00E102C3" w:rsidRDefault="00955FD6" w:rsidP="00571454">
      <w:pPr>
        <w:spacing w:line="240" w:lineRule="auto"/>
        <w:ind w:left="720" w:hanging="720"/>
        <w:rPr>
          <w:rFonts w:asciiTheme="minorHAnsi" w:hAnsiTheme="minorHAnsi" w:cstheme="minorHAnsi"/>
          <w:sz w:val="24"/>
          <w:szCs w:val="24"/>
        </w:rPr>
      </w:pPr>
      <w:r w:rsidRPr="00571454">
        <w:rPr>
          <w:rFonts w:asciiTheme="minorHAnsi" w:hAnsiTheme="minorHAnsi" w:cstheme="minorHAnsi"/>
          <w:i/>
          <w:sz w:val="24"/>
          <w:szCs w:val="24"/>
        </w:rPr>
        <w:t xml:space="preserve">Note. </w:t>
      </w:r>
      <w:r w:rsidRPr="00571454">
        <w:rPr>
          <w:rFonts w:asciiTheme="minorHAnsi" w:hAnsiTheme="minorHAnsi" w:cstheme="minorHAnsi"/>
          <w:sz w:val="24"/>
          <w:szCs w:val="24"/>
        </w:rPr>
        <w:t>Evaluation ratings were made during the 2014 fall academic term.</w:t>
      </w:r>
    </w:p>
    <w:p w14:paraId="6AC149B1" w14:textId="14350E6E" w:rsidR="00D92716" w:rsidRDefault="00D92716" w:rsidP="00571454">
      <w:pPr>
        <w:spacing w:line="240" w:lineRule="auto"/>
        <w:ind w:left="720" w:hanging="720"/>
        <w:rPr>
          <w:rFonts w:asciiTheme="minorHAnsi" w:hAnsiTheme="minorHAnsi" w:cstheme="minorHAnsi"/>
          <w:sz w:val="24"/>
          <w:szCs w:val="24"/>
        </w:rPr>
      </w:pPr>
    </w:p>
    <w:p w14:paraId="5277407E" w14:textId="0B7E4B18" w:rsidR="00D92716" w:rsidRPr="00571454" w:rsidRDefault="00D92716" w:rsidP="00571454">
      <w:pPr>
        <w:spacing w:line="240" w:lineRule="auto"/>
        <w:ind w:left="720" w:hanging="720"/>
        <w:rPr>
          <w:rFonts w:asciiTheme="minorHAnsi" w:hAnsiTheme="minorHAnsi" w:cstheme="minorHAnsi"/>
          <w:sz w:val="24"/>
          <w:szCs w:val="24"/>
          <w:lang w:eastAsia="ko-KR"/>
        </w:rPr>
      </w:pPr>
    </w:p>
    <w:sectPr w:rsidR="00D92716" w:rsidRPr="00571454">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78EF9" w14:textId="77777777" w:rsidR="004306A8" w:rsidRDefault="004306A8" w:rsidP="00E102C3">
      <w:r>
        <w:separator/>
      </w:r>
    </w:p>
    <w:p w14:paraId="30A4BA9A" w14:textId="77777777" w:rsidR="004306A8" w:rsidRDefault="004306A8" w:rsidP="00E102C3"/>
  </w:endnote>
  <w:endnote w:type="continuationSeparator" w:id="0">
    <w:p w14:paraId="60F434DB" w14:textId="77777777" w:rsidR="004306A8" w:rsidRDefault="004306A8" w:rsidP="00E102C3">
      <w:r>
        <w:continuationSeparator/>
      </w:r>
    </w:p>
    <w:p w14:paraId="139C8DAD" w14:textId="77777777" w:rsidR="004306A8" w:rsidRDefault="004306A8"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734038"/>
      <w:docPartObj>
        <w:docPartGallery w:val="Page Numbers (Bottom of Page)"/>
        <w:docPartUnique/>
      </w:docPartObj>
    </w:sdtPr>
    <w:sdtEndPr/>
    <w:sdtContent>
      <w:p w14:paraId="13FE18D8" w14:textId="5FFB3BCE" w:rsidR="00436FA4" w:rsidRDefault="00436FA4">
        <w:pPr>
          <w:pStyle w:val="a4"/>
          <w:jc w:val="center"/>
        </w:pPr>
        <w:r>
          <w:fldChar w:fldCharType="begin"/>
        </w:r>
        <w:r>
          <w:instrText>PAGE   \* MERGEFORMAT</w:instrText>
        </w:r>
        <w:r>
          <w:fldChar w:fldCharType="separate"/>
        </w:r>
        <w:r>
          <w:rPr>
            <w:lang w:val="ko-KR" w:eastAsia="ko-KR"/>
          </w:rPr>
          <w:t>2</w:t>
        </w:r>
        <w:r>
          <w:fldChar w:fldCharType="end"/>
        </w:r>
      </w:p>
    </w:sdtContent>
  </w:sdt>
  <w:p w14:paraId="22BE7D22" w14:textId="77777777" w:rsidR="00436FA4" w:rsidRDefault="00436FA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0D06C" w14:textId="77777777" w:rsidR="004306A8" w:rsidRDefault="004306A8" w:rsidP="00E102C3">
      <w:r>
        <w:separator/>
      </w:r>
    </w:p>
    <w:p w14:paraId="3BB8818C" w14:textId="77777777" w:rsidR="004306A8" w:rsidRDefault="004306A8" w:rsidP="00E102C3"/>
  </w:footnote>
  <w:footnote w:type="continuationSeparator" w:id="0">
    <w:p w14:paraId="5496E21F" w14:textId="77777777" w:rsidR="004306A8" w:rsidRDefault="004306A8" w:rsidP="00E102C3">
      <w:r>
        <w:continuationSeparator/>
      </w:r>
    </w:p>
    <w:p w14:paraId="3B6DB14E" w14:textId="77777777" w:rsidR="004306A8" w:rsidRDefault="004306A8" w:rsidP="00E102C3"/>
  </w:footnote>
  <w:footnote w:id="1">
    <w:p w14:paraId="2A8E0624" w14:textId="77777777" w:rsidR="00487FF4" w:rsidRPr="00FA75AB" w:rsidRDefault="00487FF4" w:rsidP="001B2299">
      <w:pPr>
        <w:pStyle w:val="a6"/>
        <w:ind w:left="142" w:hangingChars="71" w:hanging="142"/>
        <w:rPr>
          <w:rFonts w:asciiTheme="minorHAnsi" w:hAnsiTheme="minorHAnsi" w:cstheme="minorHAnsi"/>
        </w:rPr>
      </w:pPr>
      <w:r w:rsidRPr="00FA75AB">
        <w:rPr>
          <w:rStyle w:val="a7"/>
          <w:rFonts w:asciiTheme="minorHAnsi" w:hAnsiTheme="minorHAnsi" w:cstheme="minorHAnsi"/>
        </w:rPr>
        <w:footnoteRef/>
      </w:r>
      <w:r w:rsidRPr="00FA75AB">
        <w:rPr>
          <w:rFonts w:asciiTheme="minorHAnsi" w:hAnsiTheme="minorHAnsi" w:cstheme="minorHAnsi"/>
        </w:rPr>
        <w:t xml:space="preserve"> A Greenhouse–</w:t>
      </w:r>
      <w:proofErr w:type="spellStart"/>
      <w:r w:rsidRPr="00FA75AB">
        <w:rPr>
          <w:rFonts w:asciiTheme="minorHAnsi" w:hAnsiTheme="minorHAnsi" w:cstheme="minorHAnsi"/>
        </w:rPr>
        <w:t>Geisser</w:t>
      </w:r>
      <w:proofErr w:type="spellEnd"/>
      <w:r w:rsidRPr="00FA75AB">
        <w:rPr>
          <w:rFonts w:asciiTheme="minorHAnsi" w:hAnsiTheme="minorHAnsi" w:cstheme="minorHAnsi"/>
        </w:rPr>
        <w:t xml:space="preserve"> adjustment of the degrees of freedom was performed in anticipation of a sphericity assumption violation.</w:t>
      </w:r>
    </w:p>
  </w:footnote>
  <w:footnote w:id="2">
    <w:p w14:paraId="258E6C05" w14:textId="77777777" w:rsidR="00487FF4" w:rsidRPr="006274E0" w:rsidRDefault="00487FF4" w:rsidP="001B2299">
      <w:pPr>
        <w:pStyle w:val="a6"/>
        <w:ind w:left="142" w:hangingChars="71" w:hanging="142"/>
        <w:rPr>
          <w:rFonts w:ascii="Times New Roman" w:hAnsi="Times New Roman" w:cs="Times New Roman"/>
        </w:rPr>
      </w:pPr>
      <w:r w:rsidRPr="00FA75AB">
        <w:rPr>
          <w:rStyle w:val="a7"/>
          <w:rFonts w:asciiTheme="minorHAnsi" w:hAnsiTheme="minorHAnsi" w:cstheme="minorHAnsi"/>
        </w:rPr>
        <w:footnoteRef/>
      </w:r>
      <w:r w:rsidRPr="00FA75AB">
        <w:rPr>
          <w:rFonts w:asciiTheme="minorHAnsi" w:hAnsiTheme="minorHAnsi" w:cstheme="minorHAnsi"/>
        </w:rPr>
        <w:t xml:space="preserve"> A test of the homogeneity of variance assumption revealed no statistically significant difference in response rate variance between the two delivery modes for the 1st, 2nd, and 3rd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849DC" w14:textId="0BEB2A99" w:rsidR="00EC63D6" w:rsidRPr="00222A35" w:rsidRDefault="004306A8" w:rsidP="00E102C3">
    <w:pPr>
      <w:pStyle w:val="a3"/>
      <w:ind w:firstLine="0"/>
      <w:rPr>
        <w:rFonts w:cs="Calibri"/>
        <w:szCs w:val="22"/>
      </w:rPr>
    </w:pPr>
    <w:sdt>
      <w:sdtPr>
        <w:rPr>
          <w:rFonts w:cs="Calibri"/>
          <w:szCs w:val="22"/>
        </w:rPr>
        <w:id w:val="824625240"/>
        <w:docPartObj>
          <w:docPartGallery w:val="Page Numbers (Top of Page)"/>
          <w:docPartUnique/>
        </w:docPartObj>
      </w:sdtPr>
      <w:sdtEndPr>
        <w:rPr>
          <w:noProof/>
        </w:rPr>
      </w:sdtEndPr>
      <w:sdtContent>
        <w:r w:rsidR="00571454">
          <w:rPr>
            <w:rFonts w:cs="Calibri"/>
            <w:szCs w:val="22"/>
            <w:lang w:eastAsia="ko-KR"/>
          </w:rPr>
          <w:t>UDA 2024 Conference Proceedings</w:t>
        </w:r>
        <w:r w:rsidR="003810EE">
          <w:rPr>
            <w:rFonts w:cs="Calibri"/>
            <w:szCs w:val="22"/>
            <w:lang w:eastAsia="ko-KR"/>
          </w:rPr>
          <w:t xml:space="preserve"> – Final paper format</w:t>
        </w:r>
      </w:sdtContent>
    </w:sdt>
  </w:p>
  <w:p w14:paraId="4676793A" w14:textId="2417B05F" w:rsidR="00EC63D6" w:rsidRPr="00222A35" w:rsidRDefault="00EC63D6" w:rsidP="00E102C3">
    <w:pPr>
      <w:pStyle w:val="a3"/>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5AEC"/>
    <w:multiLevelType w:val="hybridMultilevel"/>
    <w:tmpl w:val="D226AAE2"/>
    <w:lvl w:ilvl="0" w:tplc="BFDAC492">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65ABF"/>
    <w:multiLevelType w:val="hybridMultilevel"/>
    <w:tmpl w:val="A29EF92C"/>
    <w:lvl w:ilvl="0" w:tplc="BFDAC4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C3"/>
    <w:rsid w:val="00023F33"/>
    <w:rsid w:val="000251D5"/>
    <w:rsid w:val="00073180"/>
    <w:rsid w:val="00076281"/>
    <w:rsid w:val="0008031E"/>
    <w:rsid w:val="0009623B"/>
    <w:rsid w:val="000A5A29"/>
    <w:rsid w:val="000A7152"/>
    <w:rsid w:val="000E0616"/>
    <w:rsid w:val="00103A39"/>
    <w:rsid w:val="00120A65"/>
    <w:rsid w:val="001263C3"/>
    <w:rsid w:val="00132939"/>
    <w:rsid w:val="00141EE0"/>
    <w:rsid w:val="001648BC"/>
    <w:rsid w:val="00167F5B"/>
    <w:rsid w:val="0017154C"/>
    <w:rsid w:val="00171FB6"/>
    <w:rsid w:val="001A6792"/>
    <w:rsid w:val="001B2299"/>
    <w:rsid w:val="001C2344"/>
    <w:rsid w:val="001D7F11"/>
    <w:rsid w:val="001F4777"/>
    <w:rsid w:val="00203AA4"/>
    <w:rsid w:val="00213D88"/>
    <w:rsid w:val="0021772D"/>
    <w:rsid w:val="00222A35"/>
    <w:rsid w:val="00223F0B"/>
    <w:rsid w:val="002272D2"/>
    <w:rsid w:val="00236E04"/>
    <w:rsid w:val="002443EB"/>
    <w:rsid w:val="00290C63"/>
    <w:rsid w:val="0029125E"/>
    <w:rsid w:val="002C18D1"/>
    <w:rsid w:val="002E4FFA"/>
    <w:rsid w:val="002F5057"/>
    <w:rsid w:val="0030092A"/>
    <w:rsid w:val="00304AE7"/>
    <w:rsid w:val="003069D0"/>
    <w:rsid w:val="00322A54"/>
    <w:rsid w:val="0033707E"/>
    <w:rsid w:val="00340295"/>
    <w:rsid w:val="00342C89"/>
    <w:rsid w:val="00357698"/>
    <w:rsid w:val="003649CB"/>
    <w:rsid w:val="00365ACF"/>
    <w:rsid w:val="00374868"/>
    <w:rsid w:val="003810EE"/>
    <w:rsid w:val="003A71C8"/>
    <w:rsid w:val="003C5C48"/>
    <w:rsid w:val="003F1DC5"/>
    <w:rsid w:val="00416392"/>
    <w:rsid w:val="004172EC"/>
    <w:rsid w:val="004306A8"/>
    <w:rsid w:val="0043329E"/>
    <w:rsid w:val="00436FA4"/>
    <w:rsid w:val="00473AEC"/>
    <w:rsid w:val="00477945"/>
    <w:rsid w:val="00486B99"/>
    <w:rsid w:val="00487FF4"/>
    <w:rsid w:val="004B20CE"/>
    <w:rsid w:val="004B274A"/>
    <w:rsid w:val="004D01F1"/>
    <w:rsid w:val="004E6B89"/>
    <w:rsid w:val="004F63CE"/>
    <w:rsid w:val="0051642E"/>
    <w:rsid w:val="00520B4B"/>
    <w:rsid w:val="00571454"/>
    <w:rsid w:val="00582191"/>
    <w:rsid w:val="005922A9"/>
    <w:rsid w:val="005C4840"/>
    <w:rsid w:val="005D4500"/>
    <w:rsid w:val="005D5F0F"/>
    <w:rsid w:val="00603DB7"/>
    <w:rsid w:val="00605E2C"/>
    <w:rsid w:val="006102E6"/>
    <w:rsid w:val="006110AB"/>
    <w:rsid w:val="006117B0"/>
    <w:rsid w:val="00611E10"/>
    <w:rsid w:val="00616377"/>
    <w:rsid w:val="00625D7E"/>
    <w:rsid w:val="006274E0"/>
    <w:rsid w:val="00643113"/>
    <w:rsid w:val="00666591"/>
    <w:rsid w:val="006A0399"/>
    <w:rsid w:val="006A474F"/>
    <w:rsid w:val="006B657A"/>
    <w:rsid w:val="006D475F"/>
    <w:rsid w:val="006E2EC8"/>
    <w:rsid w:val="00700473"/>
    <w:rsid w:val="00714A71"/>
    <w:rsid w:val="00736896"/>
    <w:rsid w:val="00736B4A"/>
    <w:rsid w:val="00750D4C"/>
    <w:rsid w:val="007617BF"/>
    <w:rsid w:val="00795729"/>
    <w:rsid w:val="007B4C07"/>
    <w:rsid w:val="007C0A3E"/>
    <w:rsid w:val="007C3AF9"/>
    <w:rsid w:val="007D042B"/>
    <w:rsid w:val="007F2410"/>
    <w:rsid w:val="00856ABA"/>
    <w:rsid w:val="00860780"/>
    <w:rsid w:val="00873A2C"/>
    <w:rsid w:val="00874378"/>
    <w:rsid w:val="008A49D2"/>
    <w:rsid w:val="008B549F"/>
    <w:rsid w:val="008C323F"/>
    <w:rsid w:val="008F5999"/>
    <w:rsid w:val="00901150"/>
    <w:rsid w:val="00914AEC"/>
    <w:rsid w:val="00955FD6"/>
    <w:rsid w:val="00966505"/>
    <w:rsid w:val="00972136"/>
    <w:rsid w:val="00984E61"/>
    <w:rsid w:val="0098563F"/>
    <w:rsid w:val="009D6B43"/>
    <w:rsid w:val="009E6D26"/>
    <w:rsid w:val="009E7A57"/>
    <w:rsid w:val="00A22C7D"/>
    <w:rsid w:val="00A25CAE"/>
    <w:rsid w:val="00A36D61"/>
    <w:rsid w:val="00A376D9"/>
    <w:rsid w:val="00A66E09"/>
    <w:rsid w:val="00A80790"/>
    <w:rsid w:val="00AA4A24"/>
    <w:rsid w:val="00AA5283"/>
    <w:rsid w:val="00AB3F29"/>
    <w:rsid w:val="00AB7AC2"/>
    <w:rsid w:val="00AC6ADA"/>
    <w:rsid w:val="00AD4A77"/>
    <w:rsid w:val="00AE2151"/>
    <w:rsid w:val="00B13488"/>
    <w:rsid w:val="00B15BD1"/>
    <w:rsid w:val="00B330BC"/>
    <w:rsid w:val="00B40BBE"/>
    <w:rsid w:val="00B42005"/>
    <w:rsid w:val="00B708D8"/>
    <w:rsid w:val="00B75A7C"/>
    <w:rsid w:val="00B8771A"/>
    <w:rsid w:val="00B941B1"/>
    <w:rsid w:val="00B95776"/>
    <w:rsid w:val="00B97476"/>
    <w:rsid w:val="00BA23CC"/>
    <w:rsid w:val="00BA3199"/>
    <w:rsid w:val="00BB2D3E"/>
    <w:rsid w:val="00BB41EE"/>
    <w:rsid w:val="00BB76BE"/>
    <w:rsid w:val="00BC1D76"/>
    <w:rsid w:val="00BE3F16"/>
    <w:rsid w:val="00C044E2"/>
    <w:rsid w:val="00C048E0"/>
    <w:rsid w:val="00C35B15"/>
    <w:rsid w:val="00C47B69"/>
    <w:rsid w:val="00C50B51"/>
    <w:rsid w:val="00C61A70"/>
    <w:rsid w:val="00C73377"/>
    <w:rsid w:val="00C76EAD"/>
    <w:rsid w:val="00C81D35"/>
    <w:rsid w:val="00CA1D68"/>
    <w:rsid w:val="00CA25BD"/>
    <w:rsid w:val="00CB32C3"/>
    <w:rsid w:val="00CC186E"/>
    <w:rsid w:val="00CC1F36"/>
    <w:rsid w:val="00CC7D0E"/>
    <w:rsid w:val="00CE40A4"/>
    <w:rsid w:val="00CE7883"/>
    <w:rsid w:val="00D20DB4"/>
    <w:rsid w:val="00D23A8D"/>
    <w:rsid w:val="00D6354D"/>
    <w:rsid w:val="00D92716"/>
    <w:rsid w:val="00D92B9C"/>
    <w:rsid w:val="00D93AC3"/>
    <w:rsid w:val="00DA462A"/>
    <w:rsid w:val="00DB2A40"/>
    <w:rsid w:val="00DC0F42"/>
    <w:rsid w:val="00DD132E"/>
    <w:rsid w:val="00DD6423"/>
    <w:rsid w:val="00DE1469"/>
    <w:rsid w:val="00DF03CD"/>
    <w:rsid w:val="00DF7926"/>
    <w:rsid w:val="00E01445"/>
    <w:rsid w:val="00E102C3"/>
    <w:rsid w:val="00E104D5"/>
    <w:rsid w:val="00E4496B"/>
    <w:rsid w:val="00E64A41"/>
    <w:rsid w:val="00E96D00"/>
    <w:rsid w:val="00E978CD"/>
    <w:rsid w:val="00EA0278"/>
    <w:rsid w:val="00EB6B08"/>
    <w:rsid w:val="00EB785F"/>
    <w:rsid w:val="00EC63D6"/>
    <w:rsid w:val="00ED4E5F"/>
    <w:rsid w:val="00F129E3"/>
    <w:rsid w:val="00F64D47"/>
    <w:rsid w:val="00F84B01"/>
    <w:rsid w:val="00F91590"/>
    <w:rsid w:val="00FA3A11"/>
    <w:rsid w:val="00FA5BF7"/>
    <w:rsid w:val="00FA75AB"/>
    <w:rsid w:val="00FB5E42"/>
    <w:rsid w:val="00FD2F36"/>
    <w:rsid w:val="00FF4F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AF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바탕"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86E"/>
    <w:pPr>
      <w:tabs>
        <w:tab w:val="left" w:pos="3068"/>
      </w:tabs>
      <w:spacing w:after="0" w:line="480" w:lineRule="auto"/>
      <w:ind w:firstLine="720"/>
    </w:pPr>
    <w:rPr>
      <w:rFonts w:ascii="Calibri" w:hAnsi="Calibri" w:cs="Arial"/>
      <w:szCs w:val="21"/>
      <w:shd w:val="clear" w:color="auto" w:fill="FFFFFF"/>
    </w:rPr>
  </w:style>
  <w:style w:type="paragraph" w:styleId="1">
    <w:name w:val="heading 1"/>
    <w:basedOn w:val="a"/>
    <w:next w:val="a"/>
    <w:link w:val="1Char"/>
    <w:uiPriority w:val="9"/>
    <w:qFormat/>
    <w:rsid w:val="00CC186E"/>
    <w:pPr>
      <w:tabs>
        <w:tab w:val="clear" w:pos="3068"/>
      </w:tabs>
      <w:ind w:firstLine="0"/>
      <w:jc w:val="center"/>
      <w:outlineLvl w:val="0"/>
    </w:pPr>
    <w:rPr>
      <w:rFonts w:asciiTheme="minorHAnsi" w:hAnsiTheme="minorHAnsi" w:cstheme="minorHAnsi"/>
      <w:b/>
      <w:szCs w:val="22"/>
    </w:rPr>
  </w:style>
  <w:style w:type="paragraph" w:styleId="2">
    <w:name w:val="heading 2"/>
    <w:basedOn w:val="a"/>
    <w:next w:val="a"/>
    <w:link w:val="2Char"/>
    <w:uiPriority w:val="9"/>
    <w:unhideWhenUsed/>
    <w:rsid w:val="00D92716"/>
    <w:pPr>
      <w:tabs>
        <w:tab w:val="clear" w:pos="3068"/>
      </w:tabs>
      <w:spacing w:line="240" w:lineRule="auto"/>
      <w:ind w:firstLine="0"/>
      <w:jc w:val="center"/>
      <w:outlineLvl w:val="1"/>
    </w:pPr>
    <w:rPr>
      <w:b/>
      <w:sz w:val="24"/>
      <w:szCs w:val="24"/>
    </w:rPr>
  </w:style>
  <w:style w:type="paragraph" w:styleId="3">
    <w:name w:val="heading 3"/>
    <w:basedOn w:val="a"/>
    <w:next w:val="a"/>
    <w:link w:val="3Char"/>
    <w:uiPriority w:val="9"/>
    <w:unhideWhenUsed/>
    <w:qFormat/>
    <w:rsid w:val="00D92716"/>
    <w:pPr>
      <w:tabs>
        <w:tab w:val="clear" w:pos="3068"/>
      </w:tabs>
      <w:spacing w:line="240" w:lineRule="auto"/>
      <w:ind w:firstLine="0"/>
      <w:jc w:val="center"/>
      <w:outlineLvl w:val="2"/>
    </w:pPr>
    <w:rPr>
      <w:rFonts w:asciiTheme="minorHAnsi" w:hAnsiTheme="minorHAnsi" w:cstheme="minorHAnsi"/>
      <w:b/>
      <w:sz w:val="24"/>
      <w:szCs w:val="24"/>
    </w:rPr>
  </w:style>
  <w:style w:type="paragraph" w:styleId="4">
    <w:name w:val="heading 4"/>
    <w:basedOn w:val="a"/>
    <w:next w:val="a"/>
    <w:link w:val="4Char"/>
    <w:uiPriority w:val="9"/>
    <w:unhideWhenUsed/>
    <w:qFormat/>
    <w:rsid w:val="00D92716"/>
    <w:pPr>
      <w:tabs>
        <w:tab w:val="clear" w:pos="3068"/>
      </w:tabs>
      <w:spacing w:line="240" w:lineRule="auto"/>
      <w:ind w:firstLine="0"/>
      <w:jc w:val="center"/>
      <w:outlineLvl w:val="3"/>
    </w:pPr>
    <w:rPr>
      <w:rFonts w:asciiTheme="minorHAnsi" w:hAnsiTheme="minorHAnsi" w:cstheme="minorHAnsi"/>
      <w:sz w:val="24"/>
      <w:szCs w:val="24"/>
    </w:rPr>
  </w:style>
  <w:style w:type="paragraph" w:styleId="5">
    <w:name w:val="heading 5"/>
    <w:basedOn w:val="1"/>
    <w:next w:val="a"/>
    <w:link w:val="5Char"/>
    <w:uiPriority w:val="9"/>
    <w:unhideWhenUsed/>
    <w:qFormat/>
    <w:rsid w:val="00D92716"/>
    <w:pPr>
      <w:spacing w:before="240" w:after="120" w:line="240" w:lineRule="auto"/>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02C3"/>
    <w:pPr>
      <w:tabs>
        <w:tab w:val="center" w:pos="4680"/>
        <w:tab w:val="right" w:pos="9360"/>
      </w:tabs>
      <w:spacing w:line="240" w:lineRule="auto"/>
    </w:pPr>
  </w:style>
  <w:style w:type="character" w:customStyle="1" w:styleId="Char">
    <w:name w:val="머리글 Char"/>
    <w:basedOn w:val="a0"/>
    <w:link w:val="a3"/>
    <w:uiPriority w:val="99"/>
    <w:rsid w:val="00E102C3"/>
  </w:style>
  <w:style w:type="paragraph" w:styleId="a4">
    <w:name w:val="footer"/>
    <w:basedOn w:val="a"/>
    <w:link w:val="Char0"/>
    <w:uiPriority w:val="99"/>
    <w:unhideWhenUsed/>
    <w:rsid w:val="00E102C3"/>
    <w:pPr>
      <w:tabs>
        <w:tab w:val="center" w:pos="4680"/>
        <w:tab w:val="right" w:pos="9360"/>
      </w:tabs>
      <w:spacing w:line="240" w:lineRule="auto"/>
    </w:pPr>
  </w:style>
  <w:style w:type="character" w:customStyle="1" w:styleId="Char0">
    <w:name w:val="바닥글 Char"/>
    <w:basedOn w:val="a0"/>
    <w:link w:val="a4"/>
    <w:uiPriority w:val="99"/>
    <w:rsid w:val="00E102C3"/>
  </w:style>
  <w:style w:type="character" w:styleId="a5">
    <w:name w:val="Hyperlink"/>
    <w:basedOn w:val="a0"/>
    <w:uiPriority w:val="99"/>
    <w:unhideWhenUsed/>
    <w:rsid w:val="00B40BBE"/>
    <w:rPr>
      <w:color w:val="0563C1" w:themeColor="hyperlink"/>
      <w:u w:val="single"/>
    </w:rPr>
  </w:style>
  <w:style w:type="character" w:customStyle="1" w:styleId="UnresolvedMention1">
    <w:name w:val="Unresolved Mention1"/>
    <w:basedOn w:val="a0"/>
    <w:uiPriority w:val="99"/>
    <w:semiHidden/>
    <w:unhideWhenUsed/>
    <w:rsid w:val="00B40BBE"/>
    <w:rPr>
      <w:color w:val="605E5C"/>
      <w:shd w:val="clear" w:color="auto" w:fill="E1DFDD"/>
    </w:rPr>
  </w:style>
  <w:style w:type="paragraph" w:styleId="a6">
    <w:name w:val="footnote text"/>
    <w:basedOn w:val="a"/>
    <w:link w:val="Char1"/>
    <w:uiPriority w:val="99"/>
    <w:semiHidden/>
    <w:unhideWhenUsed/>
    <w:rsid w:val="00B40BBE"/>
    <w:pPr>
      <w:spacing w:line="240" w:lineRule="auto"/>
    </w:pPr>
    <w:rPr>
      <w:sz w:val="20"/>
      <w:szCs w:val="20"/>
    </w:rPr>
  </w:style>
  <w:style w:type="character" w:customStyle="1" w:styleId="Char1">
    <w:name w:val="각주 텍스트 Char"/>
    <w:basedOn w:val="a0"/>
    <w:link w:val="a6"/>
    <w:uiPriority w:val="99"/>
    <w:semiHidden/>
    <w:rsid w:val="00B40BBE"/>
    <w:rPr>
      <w:rFonts w:ascii="Arial" w:hAnsi="Arial" w:cs="Arial"/>
      <w:color w:val="333333"/>
      <w:sz w:val="20"/>
      <w:szCs w:val="20"/>
    </w:rPr>
  </w:style>
  <w:style w:type="character" w:styleId="a7">
    <w:name w:val="footnote reference"/>
    <w:basedOn w:val="a0"/>
    <w:uiPriority w:val="99"/>
    <w:semiHidden/>
    <w:unhideWhenUsed/>
    <w:rsid w:val="00B40BBE"/>
    <w:rPr>
      <w:vertAlign w:val="superscript"/>
    </w:rPr>
  </w:style>
  <w:style w:type="character" w:styleId="a8">
    <w:name w:val="annotation reference"/>
    <w:basedOn w:val="a0"/>
    <w:uiPriority w:val="99"/>
    <w:semiHidden/>
    <w:unhideWhenUsed/>
    <w:rsid w:val="00955FD6"/>
    <w:rPr>
      <w:sz w:val="16"/>
      <w:szCs w:val="16"/>
    </w:rPr>
  </w:style>
  <w:style w:type="paragraph" w:styleId="a9">
    <w:name w:val="annotation text"/>
    <w:basedOn w:val="a"/>
    <w:link w:val="Char2"/>
    <w:semiHidden/>
    <w:unhideWhenUsed/>
    <w:rsid w:val="006274E0"/>
    <w:pPr>
      <w:tabs>
        <w:tab w:val="clear" w:pos="3068"/>
      </w:tabs>
      <w:spacing w:line="240" w:lineRule="auto"/>
      <w:ind w:firstLine="0"/>
    </w:pPr>
    <w:rPr>
      <w:sz w:val="20"/>
      <w:szCs w:val="20"/>
    </w:rPr>
  </w:style>
  <w:style w:type="character" w:customStyle="1" w:styleId="Char2">
    <w:name w:val="메모 텍스트 Char"/>
    <w:basedOn w:val="a0"/>
    <w:link w:val="a9"/>
    <w:semiHidden/>
    <w:rsid w:val="006274E0"/>
    <w:rPr>
      <w:rFonts w:ascii="Arial" w:hAnsi="Arial" w:cs="Arial"/>
      <w:color w:val="333333"/>
      <w:sz w:val="20"/>
      <w:szCs w:val="20"/>
    </w:rPr>
  </w:style>
  <w:style w:type="paragraph" w:styleId="aa">
    <w:name w:val="annotation subject"/>
    <w:basedOn w:val="a9"/>
    <w:next w:val="a9"/>
    <w:link w:val="Char3"/>
    <w:uiPriority w:val="99"/>
    <w:semiHidden/>
    <w:unhideWhenUsed/>
    <w:rsid w:val="00955FD6"/>
    <w:rPr>
      <w:b/>
      <w:bCs/>
    </w:rPr>
  </w:style>
  <w:style w:type="character" w:customStyle="1" w:styleId="Char3">
    <w:name w:val="메모 주제 Char"/>
    <w:basedOn w:val="Char2"/>
    <w:link w:val="aa"/>
    <w:uiPriority w:val="99"/>
    <w:semiHidden/>
    <w:rsid w:val="00955FD6"/>
    <w:rPr>
      <w:rFonts w:ascii="Arial" w:hAnsi="Arial" w:cs="Arial"/>
      <w:b/>
      <w:bCs/>
      <w:color w:val="333333"/>
      <w:sz w:val="20"/>
      <w:szCs w:val="20"/>
    </w:rPr>
  </w:style>
  <w:style w:type="paragraph" w:styleId="ab">
    <w:name w:val="Balloon Text"/>
    <w:basedOn w:val="a"/>
    <w:link w:val="Char4"/>
    <w:uiPriority w:val="99"/>
    <w:semiHidden/>
    <w:unhideWhenUsed/>
    <w:rsid w:val="00955FD6"/>
    <w:pPr>
      <w:spacing w:line="240" w:lineRule="auto"/>
    </w:pPr>
    <w:rPr>
      <w:rFonts w:ascii="Segoe UI" w:hAnsi="Segoe UI" w:cs="Segoe UI"/>
      <w:sz w:val="18"/>
      <w:szCs w:val="18"/>
    </w:rPr>
  </w:style>
  <w:style w:type="character" w:customStyle="1" w:styleId="Char4">
    <w:name w:val="풍선 도움말 텍스트 Char"/>
    <w:basedOn w:val="a0"/>
    <w:link w:val="ab"/>
    <w:uiPriority w:val="99"/>
    <w:semiHidden/>
    <w:rsid w:val="00955FD6"/>
    <w:rPr>
      <w:rFonts w:ascii="Segoe UI" w:hAnsi="Segoe UI" w:cs="Segoe UI"/>
      <w:color w:val="333333"/>
      <w:sz w:val="18"/>
      <w:szCs w:val="18"/>
    </w:rPr>
  </w:style>
  <w:style w:type="table" w:styleId="ac">
    <w:name w:val="Table Grid"/>
    <w:basedOn w:val="a1"/>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21772D"/>
    <w:rPr>
      <w:color w:val="954F72" w:themeColor="followedHyperlink"/>
      <w:u w:val="single"/>
    </w:rPr>
  </w:style>
  <w:style w:type="paragraph" w:styleId="ae">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2Char">
    <w:name w:val="제목 2 Char"/>
    <w:basedOn w:val="a0"/>
    <w:link w:val="2"/>
    <w:uiPriority w:val="9"/>
    <w:rsid w:val="00D92716"/>
    <w:rPr>
      <w:rFonts w:ascii="Calibri" w:hAnsi="Calibri" w:cs="Arial"/>
      <w:b/>
      <w:sz w:val="24"/>
      <w:szCs w:val="24"/>
    </w:rPr>
  </w:style>
  <w:style w:type="character" w:customStyle="1" w:styleId="1Char">
    <w:name w:val="제목 1 Char"/>
    <w:basedOn w:val="a0"/>
    <w:link w:val="1"/>
    <w:uiPriority w:val="9"/>
    <w:rsid w:val="00CC186E"/>
    <w:rPr>
      <w:rFonts w:cstheme="minorHAnsi"/>
      <w:b/>
    </w:rPr>
  </w:style>
  <w:style w:type="character" w:customStyle="1" w:styleId="3Char">
    <w:name w:val="제목 3 Char"/>
    <w:basedOn w:val="a0"/>
    <w:link w:val="3"/>
    <w:uiPriority w:val="9"/>
    <w:rsid w:val="00D92716"/>
    <w:rPr>
      <w:rFonts w:cstheme="minorHAnsi"/>
      <w:b/>
      <w:sz w:val="24"/>
      <w:szCs w:val="24"/>
    </w:rPr>
  </w:style>
  <w:style w:type="character" w:customStyle="1" w:styleId="4Char">
    <w:name w:val="제목 4 Char"/>
    <w:basedOn w:val="a0"/>
    <w:link w:val="4"/>
    <w:uiPriority w:val="9"/>
    <w:rsid w:val="00D92716"/>
    <w:rPr>
      <w:rFonts w:cstheme="minorHAnsi"/>
      <w:sz w:val="24"/>
      <w:szCs w:val="24"/>
    </w:rPr>
  </w:style>
  <w:style w:type="character" w:customStyle="1" w:styleId="5Char">
    <w:name w:val="제목 5 Char"/>
    <w:basedOn w:val="a0"/>
    <w:link w:val="5"/>
    <w:uiPriority w:val="9"/>
    <w:rsid w:val="00D92716"/>
    <w:rPr>
      <w:rFonts w:cstheme="minorHAnsi"/>
      <w:b/>
      <w:sz w:val="24"/>
      <w:szCs w:val="24"/>
    </w:rPr>
  </w:style>
  <w:style w:type="paragraph" w:styleId="af">
    <w:name w:val="Title"/>
    <w:basedOn w:val="a"/>
    <w:next w:val="a"/>
    <w:link w:val="Char5"/>
    <w:uiPriority w:val="10"/>
    <w:qFormat/>
    <w:rsid w:val="00D92716"/>
    <w:pPr>
      <w:tabs>
        <w:tab w:val="clear" w:pos="3068"/>
      </w:tabs>
      <w:spacing w:line="240" w:lineRule="auto"/>
      <w:ind w:firstLine="0"/>
    </w:pPr>
    <w:rPr>
      <w:rFonts w:asciiTheme="minorHAnsi" w:hAnsiTheme="minorHAnsi" w:cstheme="minorHAnsi"/>
      <w:sz w:val="24"/>
      <w:szCs w:val="24"/>
    </w:rPr>
  </w:style>
  <w:style w:type="character" w:customStyle="1" w:styleId="Char5">
    <w:name w:val="제목 Char"/>
    <w:basedOn w:val="a0"/>
    <w:link w:val="af"/>
    <w:uiPriority w:val="10"/>
    <w:rsid w:val="00D92716"/>
    <w:rPr>
      <w:rFonts w:cstheme="minorHAnsi"/>
      <w:sz w:val="24"/>
      <w:szCs w:val="24"/>
    </w:rPr>
  </w:style>
  <w:style w:type="paragraph" w:styleId="af0">
    <w:name w:val="Quote"/>
    <w:basedOn w:val="a"/>
    <w:next w:val="a"/>
    <w:link w:val="Char6"/>
    <w:uiPriority w:val="29"/>
    <w:qFormat/>
    <w:rsid w:val="00236E04"/>
    <w:pPr>
      <w:ind w:left="720" w:firstLine="0"/>
    </w:pPr>
    <w:rPr>
      <w:iCs/>
      <w:color w:val="404040" w:themeColor="text1" w:themeTint="BF"/>
    </w:rPr>
  </w:style>
  <w:style w:type="character" w:customStyle="1" w:styleId="Char6">
    <w:name w:val="인용 Char"/>
    <w:basedOn w:val="a0"/>
    <w:link w:val="af0"/>
    <w:uiPriority w:val="29"/>
    <w:rsid w:val="00236E04"/>
    <w:rPr>
      <w:rFonts w:ascii="Calibri" w:hAnsi="Calibri" w:cs="Arial"/>
      <w:iCs/>
      <w:color w:val="404040" w:themeColor="text1" w:themeTint="BF"/>
      <w:szCs w:val="21"/>
    </w:rPr>
  </w:style>
  <w:style w:type="paragraph" w:styleId="af1">
    <w:name w:val="endnote text"/>
    <w:basedOn w:val="a"/>
    <w:link w:val="Char7"/>
    <w:uiPriority w:val="99"/>
    <w:semiHidden/>
    <w:unhideWhenUsed/>
    <w:rsid w:val="00487FF4"/>
    <w:pPr>
      <w:snapToGrid w:val="0"/>
    </w:pPr>
  </w:style>
  <w:style w:type="character" w:customStyle="1" w:styleId="Char7">
    <w:name w:val="미주 텍스트 Char"/>
    <w:basedOn w:val="a0"/>
    <w:link w:val="af1"/>
    <w:uiPriority w:val="99"/>
    <w:semiHidden/>
    <w:rsid w:val="00487FF4"/>
    <w:rPr>
      <w:rFonts w:ascii="Calibri" w:hAnsi="Calibri" w:cs="Arial"/>
      <w:szCs w:val="21"/>
    </w:rPr>
  </w:style>
  <w:style w:type="character" w:styleId="af2">
    <w:name w:val="endnote reference"/>
    <w:basedOn w:val="a0"/>
    <w:uiPriority w:val="99"/>
    <w:semiHidden/>
    <w:unhideWhenUsed/>
    <w:rsid w:val="00487FF4"/>
    <w:rPr>
      <w:vertAlign w:val="superscript"/>
    </w:rPr>
  </w:style>
  <w:style w:type="paragraph" w:styleId="af3">
    <w:name w:val="Subtitle"/>
    <w:basedOn w:val="1"/>
    <w:next w:val="a"/>
    <w:link w:val="Char8"/>
    <w:uiPriority w:val="11"/>
    <w:qFormat/>
    <w:rsid w:val="00D92716"/>
    <w:pPr>
      <w:spacing w:line="240" w:lineRule="auto"/>
      <w:jc w:val="left"/>
    </w:pPr>
    <w:rPr>
      <w:sz w:val="24"/>
      <w:szCs w:val="24"/>
      <w:lang w:eastAsia="ko-KR"/>
    </w:rPr>
  </w:style>
  <w:style w:type="character" w:customStyle="1" w:styleId="Char8">
    <w:name w:val="부제 Char"/>
    <w:basedOn w:val="a0"/>
    <w:link w:val="af3"/>
    <w:uiPriority w:val="11"/>
    <w:rsid w:val="00D92716"/>
    <w:rPr>
      <w:rFonts w:cstheme="minorHAnsi"/>
      <w:b/>
      <w:sz w:val="24"/>
      <w:szCs w:val="24"/>
      <w:lang w:eastAsia="ko-KR"/>
    </w:rPr>
  </w:style>
  <w:style w:type="character" w:styleId="af4">
    <w:name w:val="Subtle Emphasis"/>
    <w:uiPriority w:val="19"/>
    <w:qFormat/>
    <w:rsid w:val="00D92716"/>
    <w:rPr>
      <w:i/>
      <w:sz w:val="24"/>
      <w:szCs w:val="24"/>
      <w:lang w:eastAsia="ko-KR"/>
    </w:rPr>
  </w:style>
  <w:style w:type="character" w:styleId="af5">
    <w:name w:val="Emphasis"/>
    <w:uiPriority w:val="20"/>
    <w:qFormat/>
    <w:rsid w:val="00D92716"/>
    <w:rPr>
      <w:i/>
      <w:sz w:val="24"/>
      <w:szCs w:val="24"/>
      <w:lang w:eastAsia="ko-KR"/>
    </w:rPr>
  </w:style>
  <w:style w:type="paragraph" w:customStyle="1" w:styleId="0papertitle">
    <w:name w:val="0_paper title"/>
    <w:basedOn w:val="2"/>
    <w:qFormat/>
    <w:rsid w:val="00D92716"/>
  </w:style>
  <w:style w:type="paragraph" w:customStyle="1" w:styleId="1author">
    <w:name w:val="1_author"/>
    <w:basedOn w:val="3"/>
    <w:qFormat/>
    <w:rsid w:val="00D92716"/>
  </w:style>
  <w:style w:type="paragraph" w:customStyle="1" w:styleId="1authordetail">
    <w:name w:val="1_author_detail"/>
    <w:basedOn w:val="4"/>
    <w:qFormat/>
    <w:rsid w:val="00D92716"/>
  </w:style>
  <w:style w:type="paragraph" w:customStyle="1" w:styleId="3abstract">
    <w:name w:val="3_abstract"/>
    <w:basedOn w:val="5"/>
    <w:qFormat/>
    <w:rsid w:val="00D92716"/>
  </w:style>
  <w:style w:type="paragraph" w:customStyle="1" w:styleId="4abstractcontents">
    <w:name w:val="4_abstract_contents"/>
    <w:basedOn w:val="af"/>
    <w:qFormat/>
    <w:rsid w:val="00D92716"/>
  </w:style>
  <w:style w:type="paragraph" w:customStyle="1" w:styleId="5Sectiontitle">
    <w:name w:val="5_Section title"/>
    <w:basedOn w:val="af3"/>
    <w:qFormat/>
    <w:rsid w:val="00D92716"/>
  </w:style>
  <w:style w:type="paragraph" w:customStyle="1" w:styleId="6sub-sectiontitle">
    <w:name w:val="6_sub-section title"/>
    <w:basedOn w:val="1"/>
    <w:qFormat/>
    <w:rsid w:val="00D92716"/>
    <w:pPr>
      <w:spacing w:line="240" w:lineRule="auto"/>
      <w:jc w:val="left"/>
    </w:pPr>
    <w:rPr>
      <w:i/>
      <w:sz w:val="24"/>
      <w:szCs w:val="24"/>
    </w:rPr>
  </w:style>
  <w:style w:type="paragraph" w:customStyle="1" w:styleId="7Body">
    <w:name w:val="7_Body"/>
    <w:basedOn w:val="a"/>
    <w:qFormat/>
    <w:rsid w:val="00D92716"/>
    <w:pPr>
      <w:tabs>
        <w:tab w:val="clear" w:pos="3068"/>
      </w:tabs>
      <w:spacing w:line="240" w:lineRule="auto"/>
    </w:pPr>
    <w:rPr>
      <w:rFonts w:asciiTheme="minorHAnsi" w:hAnsiTheme="minorHAnsi" w:cstheme="minorHAnsi"/>
      <w:sz w:val="24"/>
      <w:szCs w:val="24"/>
    </w:rPr>
  </w:style>
  <w:style w:type="paragraph" w:customStyle="1" w:styleId="TableandFiguretitle">
    <w:name w:val="Table and Figure title"/>
    <w:basedOn w:val="a"/>
    <w:qFormat/>
    <w:rsid w:val="00D92716"/>
    <w:pPr>
      <w:tabs>
        <w:tab w:val="clear" w:pos="3068"/>
      </w:tabs>
      <w:spacing w:line="240" w:lineRule="auto"/>
      <w:ind w:left="720" w:hanging="720"/>
      <w:contextualSpacing/>
    </w:pPr>
    <w:rPr>
      <w:rFonts w:asciiTheme="minorHAnsi" w:hAnsiTheme="minorHAns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00/JECE.37.1.21-37" TargetMode="External"/><Relationship Id="rId13" Type="http://schemas.openxmlformats.org/officeDocument/2006/relationships/hyperlink" Target="https://doi.org/10.1080/02602930410001689171" TargetMode="External"/><Relationship Id="rId18" Type="http://schemas.openxmlformats.org/officeDocument/2006/relationships/hyperlink" Target="https://doi.org/10.1007/s10755-016-9368-5" TargetMode="Externa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endnotes" Target="endnotes.xml"/><Relationship Id="rId12" Type="http://schemas.openxmlformats.org/officeDocument/2006/relationships/hyperlink" Target="https://doi.org/10.1080/08832320209599691" TargetMode="External"/><Relationship Id="rId17" Type="http://schemas.openxmlformats.org/officeDocument/2006/relationships/hyperlink" Target="https://doi.org/10.1037/stl000005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2602938.2013.831809"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2602938.2013.86095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7/CBO9780511808098" TargetMode="External"/><Relationship Id="rId23" Type="http://schemas.openxmlformats.org/officeDocument/2006/relationships/footer" Target="footer1.xml"/><Relationship Id="rId10" Type="http://schemas.openxmlformats.org/officeDocument/2006/relationships/hyperlink" Target="https://doi.org/10.1037/stl0000017" TargetMode="External"/><Relationship Id="rId19" Type="http://schemas.openxmlformats.org/officeDocument/2006/relationships/hyperlink" Target="https://doi.org/10.1080/02602931003632399" TargetMode="External"/><Relationship Id="rId4" Type="http://schemas.openxmlformats.org/officeDocument/2006/relationships/settings" Target="settings.xml"/><Relationship Id="rId9" Type="http://schemas.openxmlformats.org/officeDocument/2006/relationships/hyperlink" Target="https://doi.org/10.1037/stl0000042" TargetMode="External"/><Relationship Id="rId14" Type="http://schemas.openxmlformats.org/officeDocument/2006/relationships/hyperlink" Target="https://doi.org/10.1080/02602938.2016.1261083"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3BA35-B1FD-4BE8-A17C-2247AF97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2381</Words>
  <Characters>13575</Characters>
  <Application>Microsoft Office Word</Application>
  <DocSecurity>0</DocSecurity>
  <Lines>113</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Professional sample paper with annotations</vt:lpstr>
      <vt:lpstr>Professional sample paper with annotations</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sample paper with annotations</dc:title>
  <dc:subject/>
  <dc:creator/>
  <cp:keywords/>
  <dc:description/>
  <cp:lastModifiedBy/>
  <cp:revision>1</cp:revision>
  <dcterms:created xsi:type="dcterms:W3CDTF">2024-01-31T07:22:00Z</dcterms:created>
  <dcterms:modified xsi:type="dcterms:W3CDTF">2024-02-01T00:25:00Z</dcterms:modified>
</cp:coreProperties>
</file>