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F0AA" w14:textId="77777777" w:rsidR="00CB7B3E" w:rsidRPr="007E4FC9" w:rsidRDefault="00CB7B3E" w:rsidP="00CB7B3E">
      <w:pPr>
        <w:wordWrap/>
        <w:snapToGrid w:val="0"/>
        <w:spacing w:after="0" w:line="360" w:lineRule="auto"/>
        <w:rPr>
          <w:rFonts w:asciiTheme="minorEastAsia" w:hAnsiTheme="minorEastAsia" w:cs="Tahoma"/>
          <w:b/>
          <w:sz w:val="18"/>
          <w:szCs w:val="20"/>
        </w:rPr>
      </w:pPr>
      <w:r w:rsidRPr="007E4FC9">
        <w:rPr>
          <w:rFonts w:asciiTheme="minorEastAsia" w:hAnsiTheme="minorEastAsia" w:cs="Tahoma"/>
          <w:b/>
          <w:sz w:val="18"/>
          <w:szCs w:val="20"/>
        </w:rPr>
        <w:t>[BIOINFO 2023]</w:t>
      </w:r>
    </w:p>
    <w:p w14:paraId="673072E3" w14:textId="77777777" w:rsidR="00CB7B3E" w:rsidRPr="007E4FC9" w:rsidRDefault="00CB7B3E" w:rsidP="00CB7B3E">
      <w:pPr>
        <w:pStyle w:val="a8"/>
        <w:spacing w:before="0" w:beforeAutospacing="0" w:after="0" w:afterAutospacing="0"/>
        <w:ind w:firstLine="270"/>
        <w:jc w:val="center"/>
        <w:rPr>
          <w:rFonts w:asciiTheme="minorEastAsia" w:eastAsiaTheme="minorEastAsia" w:hAnsiTheme="minorEastAsia" w:cs="Tahoma"/>
          <w:sz w:val="18"/>
          <w:szCs w:val="20"/>
        </w:rPr>
      </w:pPr>
    </w:p>
    <w:p w14:paraId="48B45318" w14:textId="77777777" w:rsidR="00CB7B3E" w:rsidRPr="00957807" w:rsidRDefault="00CB7B3E" w:rsidP="00CB7B3E">
      <w:pPr>
        <w:pStyle w:val="a8"/>
        <w:spacing w:before="0" w:beforeAutospacing="0" w:after="0" w:afterAutospacing="0"/>
        <w:ind w:firstLine="270"/>
        <w:jc w:val="center"/>
        <w:rPr>
          <w:rFonts w:asciiTheme="minorEastAsia" w:eastAsiaTheme="minorEastAsia" w:hAnsiTheme="minorEastAsia" w:cs="Tahoma"/>
          <w:b/>
          <w:bCs/>
          <w:szCs w:val="28"/>
        </w:rPr>
      </w:pPr>
      <w:r w:rsidRPr="00957807">
        <w:rPr>
          <w:rFonts w:asciiTheme="minorEastAsia" w:eastAsiaTheme="minorEastAsia" w:hAnsiTheme="minorEastAsia" w:cs="Tahoma"/>
          <w:b/>
          <w:bCs/>
          <w:szCs w:val="28"/>
        </w:rPr>
        <w:t>Genetic analysis of the role of the reprogramming gene LIN-28 in human embryonic stem cells</w:t>
      </w:r>
    </w:p>
    <w:p w14:paraId="48E49762" w14:textId="77777777" w:rsidR="00CB7B3E" w:rsidRPr="00957807" w:rsidRDefault="00CB7B3E" w:rsidP="00CB7B3E">
      <w:pPr>
        <w:pStyle w:val="a8"/>
        <w:spacing w:before="0" w:beforeAutospacing="0" w:after="0" w:afterAutospacing="0" w:line="360" w:lineRule="auto"/>
        <w:ind w:firstLine="270"/>
        <w:jc w:val="center"/>
        <w:rPr>
          <w:rFonts w:asciiTheme="minorEastAsia" w:eastAsiaTheme="minorEastAsia" w:hAnsiTheme="minorEastAsia" w:cs="Tahoma"/>
          <w:sz w:val="20"/>
          <w:szCs w:val="21"/>
        </w:rPr>
      </w:pPr>
    </w:p>
    <w:p w14:paraId="04907860" w14:textId="77777777" w:rsidR="00CB7B3E" w:rsidRPr="00957807" w:rsidRDefault="00CB7B3E" w:rsidP="00CB7B3E">
      <w:pPr>
        <w:pStyle w:val="a8"/>
        <w:spacing w:before="0" w:beforeAutospacing="0" w:after="0" w:afterAutospacing="0" w:line="480" w:lineRule="auto"/>
        <w:ind w:firstLine="270"/>
        <w:jc w:val="center"/>
        <w:rPr>
          <w:rFonts w:asciiTheme="minorEastAsia" w:eastAsiaTheme="minorEastAsia" w:hAnsiTheme="minorEastAsia" w:cs="Tahoma"/>
          <w:sz w:val="20"/>
          <w:szCs w:val="21"/>
        </w:rPr>
      </w:pPr>
      <w:r w:rsidRPr="00957807">
        <w:rPr>
          <w:rFonts w:asciiTheme="minorEastAsia" w:eastAsiaTheme="minorEastAsia" w:hAnsiTheme="minorEastAsia" w:cs="Tahoma"/>
          <w:sz w:val="20"/>
          <w:szCs w:val="21"/>
          <w:u w:val="single"/>
        </w:rPr>
        <w:t>Hong-Gil Dong</w:t>
      </w:r>
      <w:r w:rsidRPr="00957807">
        <w:rPr>
          <w:rFonts w:asciiTheme="minorEastAsia" w:eastAsiaTheme="minorEastAsia" w:hAnsiTheme="minorEastAsia" w:cs="Tahoma"/>
          <w:sz w:val="20"/>
          <w:szCs w:val="21"/>
          <w:u w:val="single"/>
          <w:vertAlign w:val="superscript"/>
        </w:rPr>
        <w:t>1</w:t>
      </w:r>
      <w:r w:rsidRPr="00957807">
        <w:rPr>
          <w:rFonts w:asciiTheme="minorEastAsia" w:eastAsiaTheme="minorEastAsia" w:hAnsiTheme="minorEastAsia" w:cs="Tahoma"/>
          <w:sz w:val="20"/>
          <w:szCs w:val="21"/>
        </w:rPr>
        <w:t>, Dulee Jang</w:t>
      </w:r>
      <w:r w:rsidRPr="00957807">
        <w:rPr>
          <w:rFonts w:asciiTheme="minorEastAsia" w:eastAsiaTheme="minorEastAsia" w:hAnsiTheme="minorEastAsia" w:cs="Tahoma"/>
          <w:sz w:val="20"/>
          <w:szCs w:val="21"/>
          <w:vertAlign w:val="superscript"/>
        </w:rPr>
        <w:t>1,2</w:t>
      </w:r>
      <w:r w:rsidRPr="00957807">
        <w:rPr>
          <w:rFonts w:asciiTheme="minorEastAsia" w:eastAsiaTheme="minorEastAsia" w:hAnsiTheme="minorEastAsia" w:cs="Tahoma"/>
          <w:sz w:val="20"/>
          <w:szCs w:val="21"/>
        </w:rPr>
        <w:t>, and Nara Jang</w:t>
      </w:r>
      <w:r w:rsidRPr="00957807">
        <w:rPr>
          <w:rFonts w:asciiTheme="minorEastAsia" w:eastAsiaTheme="minorEastAsia" w:hAnsiTheme="minorEastAsia" w:cs="Tahoma"/>
          <w:sz w:val="20"/>
          <w:szCs w:val="21"/>
          <w:vertAlign w:val="superscript"/>
        </w:rPr>
        <w:t>1,*</w:t>
      </w:r>
    </w:p>
    <w:p w14:paraId="3566B253" w14:textId="77777777" w:rsidR="00CB7B3E" w:rsidRPr="00957807" w:rsidRDefault="00CB7B3E" w:rsidP="00CB7B3E">
      <w:pPr>
        <w:pStyle w:val="a8"/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</w:pPr>
      <w:r w:rsidRPr="00957807">
        <w:rPr>
          <w:rFonts w:asciiTheme="minorEastAsia" w:eastAsiaTheme="minorEastAsia" w:hAnsiTheme="minorEastAsia" w:cs="Tahoma"/>
          <w:iCs/>
          <w:color w:val="000000"/>
          <w:sz w:val="20"/>
          <w:szCs w:val="21"/>
          <w:vertAlign w:val="superscript"/>
        </w:rPr>
        <w:t>1</w:t>
      </w:r>
      <w:r w:rsidRPr="00957807"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  <w:t>Department of Bioinformatics, Hankuk University</w:t>
      </w:r>
    </w:p>
    <w:p w14:paraId="3FD3DD83" w14:textId="77777777" w:rsidR="00CB7B3E" w:rsidRPr="00957807" w:rsidRDefault="00CB7B3E" w:rsidP="00CB7B3E">
      <w:pPr>
        <w:pStyle w:val="a8"/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</w:pPr>
      <w:r w:rsidRPr="00957807">
        <w:rPr>
          <w:rFonts w:asciiTheme="minorEastAsia" w:eastAsiaTheme="minorEastAsia" w:hAnsiTheme="minorEastAsia" w:cs="Tahoma"/>
          <w:iCs/>
          <w:color w:val="000000"/>
          <w:sz w:val="20"/>
          <w:szCs w:val="21"/>
          <w:vertAlign w:val="superscript"/>
        </w:rPr>
        <w:t>2</w:t>
      </w:r>
      <w:r w:rsidRPr="00957807"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  <w:t>Institute of Computational Genomics, Gangbuk University</w:t>
      </w:r>
    </w:p>
    <w:p w14:paraId="3DE5CFBE" w14:textId="77777777" w:rsidR="00CB7B3E" w:rsidRDefault="00CB7B3E" w:rsidP="00CB7B3E">
      <w:pPr>
        <w:pStyle w:val="a8"/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</w:pPr>
      <w:r w:rsidRPr="00957807">
        <w:rPr>
          <w:rFonts w:asciiTheme="minorEastAsia" w:eastAsiaTheme="minorEastAsia" w:hAnsiTheme="minorEastAsia" w:cs="Tahoma"/>
          <w:iCs/>
          <w:color w:val="000000"/>
          <w:sz w:val="20"/>
          <w:szCs w:val="21"/>
        </w:rPr>
        <w:t>*</w:t>
      </w:r>
      <w:r w:rsidRPr="00957807"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  <w:t xml:space="preserve">Corresponding author: </w:t>
      </w:r>
      <w:hyperlink r:id="rId7" w:history="1">
        <w:r w:rsidRPr="00C33C27">
          <w:rPr>
            <w:rStyle w:val="a9"/>
            <w:rFonts w:asciiTheme="minorEastAsia" w:eastAsiaTheme="minorEastAsia" w:hAnsiTheme="minorEastAsia" w:cs="Tahoma"/>
            <w:i/>
            <w:iCs/>
            <w:sz w:val="20"/>
            <w:szCs w:val="21"/>
          </w:rPr>
          <w:t>narajang@hankuk.ac.kr</w:t>
        </w:r>
      </w:hyperlink>
    </w:p>
    <w:p w14:paraId="345F8E1B" w14:textId="77777777" w:rsidR="00CB7B3E" w:rsidRPr="00957807" w:rsidRDefault="00CB7B3E" w:rsidP="00CB7B3E">
      <w:pPr>
        <w:pStyle w:val="a8"/>
        <w:spacing w:before="0" w:beforeAutospacing="0" w:after="0" w:afterAutospacing="0"/>
        <w:jc w:val="center"/>
        <w:rPr>
          <w:rFonts w:asciiTheme="minorEastAsia" w:eastAsiaTheme="minorEastAsia" w:hAnsiTheme="minorEastAsia" w:cs="Tahoma"/>
          <w:i/>
          <w:iCs/>
          <w:color w:val="000000"/>
          <w:sz w:val="20"/>
          <w:szCs w:val="21"/>
        </w:rPr>
      </w:pPr>
    </w:p>
    <w:p w14:paraId="02822C48" w14:textId="17508EB7" w:rsidR="00C82FDE" w:rsidRPr="00BF4127" w:rsidRDefault="00BF4127" w:rsidP="00CB7B3E">
      <w:pPr>
        <w:widowControl/>
        <w:wordWrap/>
        <w:autoSpaceDE/>
        <w:autoSpaceDN/>
        <w:rPr>
          <w:rFonts w:eastAsiaTheme="minorHAnsi" w:cs="Tahoma"/>
          <w:b/>
          <w:color w:val="008080"/>
          <w:szCs w:val="20"/>
        </w:rPr>
      </w:pPr>
      <w:r w:rsidRPr="00BF4127">
        <w:rPr>
          <w:rFonts w:eastAsiaTheme="minorHAnsi"/>
          <w:color w:val="222222"/>
          <w:szCs w:val="20"/>
          <w:shd w:val="clear" w:color="auto" w:fill="FFFFFF"/>
        </w:rPr>
        <w:t>LIN-28, a recently identified gene, has been found to play a role in the transformation of somatic cells into induced pluripotent stem cells. While our prior research indicated a high expression of LIN-28 in human embryonic stem cells (HESCs), its specific function within these cells remained unexplored. Our latest findings reveal that LIN-28, akin to OCT4, SOX2, and NANOG, experiences a decrease in expression during the differentiation of HESCs into embryoid bodies. Furthermore, we investigated LIN-28's role in HESCs by manipulating its expression levels. Overexpression of LIN-28 hindered the ability of cells to grow at clonal densities, primarily due to increased differentiation and reduced cell division. Analysis of cell differentiation under these conditions showed a pronounced inclination towards the extraembryonic endoderm lineage. Interestingly, our research also observed high levels of Lin-28 in the extraembryonic endoderm during early mouse development, both in vitro and in vivo, suggesting that elevated LIN-28 levels may direct cells toward an extraembryonic endoderm fate. However, it's worth noting that LIN-28 appears to be dispensable for HESC self-renewal, as its downregulation neither impairs their proliferation nor triggers differentiation. Instead, LIN-28 seems to influence the decision of HESCs to transition from self-renewal to the differentiation process.</w:t>
      </w:r>
      <w:bookmarkStart w:id="0" w:name="_GoBack"/>
      <w:bookmarkEnd w:id="0"/>
    </w:p>
    <w:p w14:paraId="56E97549" w14:textId="77777777" w:rsidR="00C82FDE" w:rsidRPr="007E4FC9" w:rsidRDefault="00C82FDE">
      <w:pPr>
        <w:rPr>
          <w:rFonts w:asciiTheme="minorEastAsia" w:hAnsiTheme="minorEastAsia" w:cs="Tahoma"/>
          <w:szCs w:val="20"/>
        </w:rPr>
      </w:pPr>
    </w:p>
    <w:sectPr w:rsidR="00C82FDE" w:rsidRPr="007E4FC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59B6" w14:textId="77777777" w:rsidR="00476CC1" w:rsidRDefault="00476CC1" w:rsidP="007E4FC9">
      <w:pPr>
        <w:spacing w:after="0" w:line="240" w:lineRule="auto"/>
      </w:pPr>
      <w:r>
        <w:separator/>
      </w:r>
    </w:p>
  </w:endnote>
  <w:endnote w:type="continuationSeparator" w:id="0">
    <w:p w14:paraId="5BA692A4" w14:textId="77777777" w:rsidR="00476CC1" w:rsidRDefault="00476CC1" w:rsidP="007E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4CF2F" w14:textId="77777777" w:rsidR="00476CC1" w:rsidRDefault="00476CC1" w:rsidP="007E4FC9">
      <w:pPr>
        <w:spacing w:after="0" w:line="240" w:lineRule="auto"/>
      </w:pPr>
      <w:r>
        <w:separator/>
      </w:r>
    </w:p>
  </w:footnote>
  <w:footnote w:type="continuationSeparator" w:id="0">
    <w:p w14:paraId="7E89CCDE" w14:textId="77777777" w:rsidR="00476CC1" w:rsidRDefault="00476CC1" w:rsidP="007E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A99"/>
    <w:multiLevelType w:val="hybridMultilevel"/>
    <w:tmpl w:val="ACF609E0"/>
    <w:lvl w:ilvl="0" w:tplc="55F61FD2">
      <w:start w:val="1"/>
      <w:numFmt w:val="decimal"/>
      <w:lvlText w:val="%1."/>
      <w:lvlJc w:val="left"/>
      <w:pPr>
        <w:ind w:left="400" w:hanging="400"/>
      </w:pPr>
    </w:lvl>
    <w:lvl w:ilvl="1" w:tplc="48AC836A">
      <w:start w:val="1"/>
      <w:numFmt w:val="upperLetter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DE"/>
    <w:rsid w:val="00476CC1"/>
    <w:rsid w:val="004B0B22"/>
    <w:rsid w:val="00513BCF"/>
    <w:rsid w:val="005E2FA8"/>
    <w:rsid w:val="007E4FC9"/>
    <w:rsid w:val="008318AE"/>
    <w:rsid w:val="008A4F98"/>
    <w:rsid w:val="00957807"/>
    <w:rsid w:val="00A541A3"/>
    <w:rsid w:val="00BF4127"/>
    <w:rsid w:val="00C20B0A"/>
    <w:rsid w:val="00C82FDE"/>
    <w:rsid w:val="00CB7B3E"/>
    <w:rsid w:val="00E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wordWrap/>
      <w:autoSpaceDE/>
      <w:autoSpaceDN/>
      <w:spacing w:after="0" w:line="240" w:lineRule="auto"/>
      <w:outlineLvl w:val="0"/>
    </w:pPr>
    <w:rPr>
      <w:rFonts w:ascii="Times" w:eastAsia="MS Mincho" w:hAnsi="Times" w:cs="Times New Roman"/>
      <w:b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Field11pt-SingleChar">
    <w:name w:val="Data Field 11pt-Single Char"/>
    <w:rPr>
      <w:rFonts w:ascii="Arial" w:hAnsi="Arial" w:cs="Arial"/>
      <w:kern w:val="0"/>
      <w:sz w:val="22"/>
      <w:szCs w:val="20"/>
      <w:lang w:eastAsia="en-US"/>
    </w:rPr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rPr>
      <w:rFonts w:ascii="Times" w:eastAsia="MS Mincho" w:hAnsi="Times" w:cs="Times New Roman"/>
      <w:b/>
      <w:sz w:val="24"/>
      <w:szCs w:val="20"/>
      <w:lang w:eastAsia="ja-JP"/>
    </w:rPr>
  </w:style>
  <w:style w:type="paragraph" w:customStyle="1" w:styleId="DataField11pt-Single">
    <w:name w:val="Data Field 11pt-Single"/>
    <w:basedOn w:val="a"/>
    <w:pPr>
      <w:widowControl/>
      <w:wordWrap/>
      <w:spacing w:after="0" w:line="240" w:lineRule="auto"/>
      <w:jc w:val="left"/>
    </w:pPr>
    <w:rPr>
      <w:rFonts w:ascii="Arial" w:hAnsi="Arial" w:cs="Arial"/>
      <w:kern w:val="0"/>
      <w:sz w:val="22"/>
      <w:szCs w:val="20"/>
      <w:lang w:eastAsia="en-US"/>
    </w:rPr>
  </w:style>
  <w:style w:type="character" w:customStyle="1" w:styleId="ti">
    <w:name w:val="ti"/>
    <w:basedOn w:val="a0"/>
  </w:style>
  <w:style w:type="paragraph" w:customStyle="1" w:styleId="DataField10pt">
    <w:name w:val="Data Field 10pt"/>
    <w:basedOn w:val="a"/>
    <w:pPr>
      <w:widowControl/>
      <w:wordWrap/>
      <w:spacing w:after="0" w:line="240" w:lineRule="auto"/>
      <w:jc w:val="left"/>
    </w:pPr>
    <w:rPr>
      <w:rFonts w:ascii="Arial" w:hAnsi="Arial" w:cs="Arial"/>
      <w:kern w:val="0"/>
      <w:szCs w:val="20"/>
      <w:lang w:eastAsia="en-US"/>
    </w:rPr>
  </w:style>
  <w:style w:type="paragraph" w:customStyle="1" w:styleId="font8">
    <w:name w:val="font_8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Emphasis"/>
    <w:basedOn w:val="a0"/>
    <w:qFormat/>
    <w:rPr>
      <w:i/>
      <w:iCs/>
    </w:rPr>
  </w:style>
  <w:style w:type="paragraph" w:styleId="a6">
    <w:name w:val="List Paragraph"/>
    <w:basedOn w:val="a"/>
    <w:qFormat/>
    <w:pPr>
      <w:spacing w:after="0" w:line="240" w:lineRule="auto"/>
      <w:ind w:leftChars="400" w:left="800"/>
    </w:pPr>
  </w:style>
  <w:style w:type="character" w:customStyle="1" w:styleId="Char1">
    <w:name w:val="머리글 Char"/>
    <w:basedOn w:val="a0"/>
  </w:style>
  <w:style w:type="paragraph" w:styleId="a7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Normal (Web)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nhideWhenUsed/>
    <w:rPr>
      <w:color w:val="0000FF"/>
      <w:u w:val="single"/>
    </w:rPr>
  </w:style>
  <w:style w:type="paragraph" w:styleId="aa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ajang@hankuk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2023-09-13T00:15:00Z</dcterms:created>
  <dcterms:modified xsi:type="dcterms:W3CDTF">2023-09-13T00:40:00Z</dcterms:modified>
  <cp:version>0900.0001.01</cp:version>
</cp:coreProperties>
</file>